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9A" w:rsidRDefault="00652619" w:rsidP="00F10982">
      <w:pPr>
        <w:pStyle w:val="NadpisMonika"/>
        <w:tabs>
          <w:tab w:val="left" w:pos="993"/>
        </w:tabs>
      </w:pPr>
      <w:r w:rsidRPr="00652619">
        <w:t xml:space="preserve">Dražební vyhláška </w:t>
      </w:r>
      <w:r w:rsidRPr="00652619">
        <w:rPr>
          <w:sz w:val="32"/>
        </w:rPr>
        <w:t>č</w:t>
      </w:r>
      <w:r w:rsidRPr="00652619">
        <w:t xml:space="preserve">. </w:t>
      </w:r>
      <w:r w:rsidR="0073530E">
        <w:t>32</w:t>
      </w:r>
      <w:r w:rsidRPr="00652619">
        <w:t>/1</w:t>
      </w:r>
      <w:r w:rsidR="00DB5778">
        <w:t>4</w:t>
      </w:r>
      <w:r w:rsidRPr="00652619">
        <w:t>/D</w:t>
      </w:r>
      <w:r w:rsidR="002C3B56">
        <w:t>/O</w:t>
      </w:r>
    </w:p>
    <w:p w:rsidR="00652619" w:rsidRDefault="00652619" w:rsidP="00652619">
      <w:pPr>
        <w:jc w:val="center"/>
      </w:pPr>
      <w:r>
        <w:t>veřejné dražby dobrovolné</w:t>
      </w:r>
      <w:r w:rsidR="002C3B56">
        <w:t xml:space="preserve"> opakované</w:t>
      </w:r>
    </w:p>
    <w:p w:rsidR="00652619" w:rsidRDefault="00652619" w:rsidP="00A8347D">
      <w:pPr>
        <w:pBdr>
          <w:bottom w:val="single" w:sz="6" w:space="1" w:color="auto"/>
        </w:pBdr>
        <w:jc w:val="center"/>
        <w:rPr>
          <w:sz w:val="20"/>
          <w:szCs w:val="20"/>
        </w:rPr>
      </w:pPr>
      <w:r>
        <w:rPr>
          <w:sz w:val="20"/>
          <w:szCs w:val="20"/>
        </w:rPr>
        <w:t xml:space="preserve">ve smyslu § </w:t>
      </w:r>
      <w:r w:rsidR="001647DC">
        <w:rPr>
          <w:sz w:val="20"/>
          <w:szCs w:val="20"/>
        </w:rPr>
        <w:t>17</w:t>
      </w:r>
      <w:r>
        <w:rPr>
          <w:sz w:val="20"/>
          <w:szCs w:val="20"/>
        </w:rPr>
        <w:t xml:space="preserve"> a násl. </w:t>
      </w:r>
      <w:r w:rsidR="005775BA">
        <w:rPr>
          <w:sz w:val="20"/>
          <w:szCs w:val="20"/>
        </w:rPr>
        <w:t>z</w:t>
      </w:r>
      <w:r>
        <w:rPr>
          <w:sz w:val="20"/>
          <w:szCs w:val="20"/>
        </w:rPr>
        <w:t>ákona č. 26/2000 Sb.</w:t>
      </w:r>
      <w:r w:rsidR="00C101C1">
        <w:rPr>
          <w:sz w:val="20"/>
          <w:szCs w:val="20"/>
        </w:rPr>
        <w:t>,</w:t>
      </w:r>
      <w:r>
        <w:rPr>
          <w:sz w:val="20"/>
          <w:szCs w:val="20"/>
        </w:rPr>
        <w:t xml:space="preserve"> o veřejných dražbách</w:t>
      </w:r>
      <w:r w:rsidR="00C101C1">
        <w:rPr>
          <w:sz w:val="20"/>
          <w:szCs w:val="20"/>
        </w:rPr>
        <w:t xml:space="preserve"> v p</w:t>
      </w:r>
      <w:r w:rsidR="00EF4867">
        <w:rPr>
          <w:sz w:val="20"/>
          <w:szCs w:val="20"/>
        </w:rPr>
        <w:t>l</w:t>
      </w:r>
      <w:r w:rsidR="00C101C1">
        <w:rPr>
          <w:sz w:val="20"/>
          <w:szCs w:val="20"/>
        </w:rPr>
        <w:t>atném znění</w:t>
      </w:r>
    </w:p>
    <w:p w:rsidR="00AC18C8" w:rsidRDefault="00AC18C8" w:rsidP="00A8347D">
      <w:pPr>
        <w:pStyle w:val="lnek-Monika"/>
      </w:pPr>
      <w:r>
        <w:t>Označení osob</w:t>
      </w:r>
    </w:p>
    <w:p w:rsidR="00C101C1" w:rsidRDefault="00315A76" w:rsidP="00635B01">
      <w:pPr>
        <w:pStyle w:val="Odstavecseseznamem"/>
        <w:numPr>
          <w:ilvl w:val="1"/>
          <w:numId w:val="1"/>
        </w:numPr>
        <w:tabs>
          <w:tab w:val="left" w:pos="1701"/>
        </w:tabs>
        <w:ind w:left="426" w:hanging="426"/>
        <w:rPr>
          <w:b/>
        </w:rPr>
      </w:pPr>
      <w:r>
        <w:t>Navrhovatel:</w:t>
      </w:r>
      <w:r>
        <w:tab/>
      </w:r>
      <w:r w:rsidRPr="00382A75">
        <w:rPr>
          <w:b/>
        </w:rPr>
        <w:t>IKT INSOLVENCE v.o.s.,</w:t>
      </w:r>
    </w:p>
    <w:p w:rsidR="00C101C1" w:rsidRDefault="00C101C1" w:rsidP="00635B01">
      <w:pPr>
        <w:pStyle w:val="Odstavecseseznamem"/>
        <w:tabs>
          <w:tab w:val="left" w:pos="1701"/>
        </w:tabs>
        <w:ind w:left="426"/>
      </w:pPr>
      <w:r w:rsidRPr="00C101C1">
        <w:tab/>
        <w:t xml:space="preserve">IČ </w:t>
      </w:r>
      <w:r w:rsidR="0013749F" w:rsidRPr="00C101C1">
        <w:t>291 13 091, se</w:t>
      </w:r>
      <w:r w:rsidRPr="00C101C1">
        <w:t xml:space="preserve"> sídlem</w:t>
      </w:r>
      <w:r>
        <w:rPr>
          <w:b/>
        </w:rPr>
        <w:t xml:space="preserve"> </w:t>
      </w:r>
      <w:r>
        <w:t>Palackého 389/7, Plzeň, PSČ 301 00</w:t>
      </w:r>
    </w:p>
    <w:p w:rsidR="00C101C1" w:rsidRDefault="00C101C1" w:rsidP="00635B01">
      <w:pPr>
        <w:pStyle w:val="Odstavecseseznamem"/>
        <w:tabs>
          <w:tab w:val="left" w:pos="1701"/>
        </w:tabs>
        <w:ind w:left="426"/>
      </w:pPr>
      <w:r>
        <w:tab/>
        <w:t>jednající: Mgr. Karel Touschek, ohlášený společník</w:t>
      </w:r>
    </w:p>
    <w:p w:rsidR="00315A76" w:rsidRDefault="00C101C1" w:rsidP="00635B01">
      <w:pPr>
        <w:pStyle w:val="Odstavecseseznamem"/>
        <w:tabs>
          <w:tab w:val="left" w:pos="1701"/>
        </w:tabs>
        <w:ind w:left="426"/>
      </w:pPr>
      <w:r>
        <w:tab/>
      </w:r>
      <w:r w:rsidR="00315A76" w:rsidRPr="00C101C1">
        <w:t>insolvenční správce dlužník</w:t>
      </w:r>
      <w:r w:rsidR="0073530E">
        <w:t xml:space="preserve">ů Vladimír Buchal, dat. nar. 30. 08. 1979 a </w:t>
      </w:r>
    </w:p>
    <w:p w:rsidR="0073530E" w:rsidRPr="00382A75" w:rsidRDefault="0073530E" w:rsidP="00635B01">
      <w:pPr>
        <w:pStyle w:val="Odstavecseseznamem"/>
        <w:tabs>
          <w:tab w:val="left" w:pos="1701"/>
        </w:tabs>
        <w:ind w:left="426"/>
        <w:rPr>
          <w:b/>
        </w:rPr>
      </w:pPr>
      <w:r>
        <w:tab/>
        <w:t>Jitky Buchalové, dat. nar. 1</w:t>
      </w:r>
      <w:r w:rsidR="00FB5437">
        <w:t>3</w:t>
      </w:r>
      <w:r>
        <w:t xml:space="preserve">. </w:t>
      </w:r>
      <w:r w:rsidR="00FB5437">
        <w:t>10</w:t>
      </w:r>
      <w:r>
        <w:t>. 19</w:t>
      </w:r>
      <w:r w:rsidR="00FB5437">
        <w:t>81</w:t>
      </w:r>
    </w:p>
    <w:p w:rsidR="00315A76" w:rsidRDefault="00315A76" w:rsidP="00635B01">
      <w:pPr>
        <w:tabs>
          <w:tab w:val="left" w:pos="1701"/>
        </w:tabs>
      </w:pPr>
      <w:r>
        <w:tab/>
      </w:r>
      <w:r w:rsidR="0073530E">
        <w:t xml:space="preserve">oba </w:t>
      </w:r>
      <w:r w:rsidR="00557290">
        <w:t>bytem</w:t>
      </w:r>
      <w:r>
        <w:t xml:space="preserve"> </w:t>
      </w:r>
      <w:r w:rsidR="0073530E">
        <w:t>Chomutov</w:t>
      </w:r>
      <w:r w:rsidR="00EC6D78">
        <w:t xml:space="preserve">, </w:t>
      </w:r>
      <w:r w:rsidR="0073530E">
        <w:rPr>
          <w:rFonts w:cs="TimesNewRomanPSMT"/>
        </w:rPr>
        <w:t>Zahradní 5171</w:t>
      </w:r>
      <w:r w:rsidR="00EC6D78">
        <w:t xml:space="preserve">, PSČ </w:t>
      </w:r>
      <w:r w:rsidR="0073530E">
        <w:t>430</w:t>
      </w:r>
      <w:r w:rsidR="00635B01">
        <w:t xml:space="preserve"> 0</w:t>
      </w:r>
      <w:r w:rsidR="0073530E">
        <w:t>4</w:t>
      </w:r>
    </w:p>
    <w:p w:rsidR="0089020B" w:rsidRDefault="0089020B" w:rsidP="00635B01">
      <w:pPr>
        <w:tabs>
          <w:tab w:val="left" w:pos="1701"/>
        </w:tabs>
      </w:pPr>
    </w:p>
    <w:p w:rsidR="00315A76" w:rsidRDefault="00315A76" w:rsidP="00635B01">
      <w:pPr>
        <w:pStyle w:val="Odstavecseseznamem"/>
        <w:numPr>
          <w:ilvl w:val="1"/>
          <w:numId w:val="1"/>
        </w:numPr>
        <w:tabs>
          <w:tab w:val="left" w:pos="1701"/>
        </w:tabs>
        <w:ind w:left="426" w:hanging="426"/>
      </w:pPr>
      <w:r>
        <w:t>Dražebník:</w:t>
      </w:r>
      <w:r>
        <w:tab/>
      </w:r>
      <w:r w:rsidRPr="00382A75">
        <w:rPr>
          <w:b/>
        </w:rPr>
        <w:t>FIST Praha s.r.o.</w:t>
      </w:r>
    </w:p>
    <w:p w:rsidR="00315A76" w:rsidRDefault="00315A76" w:rsidP="00635B01">
      <w:pPr>
        <w:pStyle w:val="Odstavecseseznamem"/>
        <w:tabs>
          <w:tab w:val="left" w:pos="1701"/>
        </w:tabs>
        <w:ind w:left="426"/>
      </w:pPr>
      <w:r>
        <w:tab/>
        <w:t>IČ: 639 83</w:t>
      </w:r>
      <w:r w:rsidR="00553537">
        <w:t xml:space="preserve"> </w:t>
      </w:r>
      <w:r>
        <w:t xml:space="preserve">079, se sídlem Oderská 333, 196 00 </w:t>
      </w:r>
      <w:r w:rsidR="00856EB6">
        <w:t>Praha 9 – Čakovice</w:t>
      </w:r>
    </w:p>
    <w:p w:rsidR="00315A76" w:rsidRDefault="00315A76" w:rsidP="00635B01">
      <w:pPr>
        <w:pStyle w:val="Odstavecseseznamem"/>
        <w:tabs>
          <w:tab w:val="left" w:pos="1701"/>
        </w:tabs>
        <w:ind w:left="426"/>
      </w:pPr>
      <w:r>
        <w:tab/>
        <w:t>zastoupená: Mgr. Monikou Maznou – jednatel</w:t>
      </w:r>
      <w:r w:rsidR="00B47296">
        <w:t>kou</w:t>
      </w:r>
      <w:r>
        <w:t xml:space="preserve"> společnosti</w:t>
      </w:r>
    </w:p>
    <w:p w:rsidR="00315A76" w:rsidRDefault="00315A76" w:rsidP="00635B01">
      <w:pPr>
        <w:pStyle w:val="Odstavecseseznamem"/>
        <w:tabs>
          <w:tab w:val="left" w:pos="1701"/>
        </w:tabs>
        <w:ind w:left="426"/>
        <w:rPr>
          <w:sz w:val="18"/>
          <w:szCs w:val="18"/>
        </w:rPr>
      </w:pPr>
      <w:r>
        <w:tab/>
      </w:r>
      <w:r>
        <w:rPr>
          <w:sz w:val="18"/>
          <w:szCs w:val="18"/>
        </w:rPr>
        <w:t>zapsána v obchodním rejstříku, vedeném Městským soudem v Praze, oddíl C, vložka 40013</w:t>
      </w:r>
    </w:p>
    <w:p w:rsidR="004D0388" w:rsidRDefault="004D0388" w:rsidP="00A8347D">
      <w:pPr>
        <w:pStyle w:val="lnek-Monika"/>
      </w:pPr>
      <w:r>
        <w:t>vyhlášení dražby, místa a datum konání</w:t>
      </w:r>
    </w:p>
    <w:p w:rsidR="004D0388" w:rsidRDefault="004D0388" w:rsidP="004D0388">
      <w:pPr>
        <w:pStyle w:val="Odstavecseseznamem"/>
        <w:numPr>
          <w:ilvl w:val="1"/>
          <w:numId w:val="1"/>
        </w:numPr>
        <w:ind w:left="426" w:hanging="426"/>
        <w:jc w:val="both"/>
      </w:pPr>
      <w:r>
        <w:t>Touto dražební vyhláškou se vyhlašuje veřejná dražba dobrovolná</w:t>
      </w:r>
      <w:r w:rsidR="002C3B56">
        <w:t xml:space="preserve"> opakovaná</w:t>
      </w:r>
      <w:r>
        <w:t xml:space="preserve">. </w:t>
      </w:r>
      <w:r w:rsidR="00553537">
        <w:t>D</w:t>
      </w:r>
      <w:r>
        <w:t>ražba se bude konat v</w:t>
      </w:r>
      <w:r w:rsidR="002F4D82">
        <w:t> </w:t>
      </w:r>
      <w:r w:rsidR="0073530E">
        <w:t>p</w:t>
      </w:r>
      <w:r w:rsidR="002C3B56">
        <w:t>ondělí</w:t>
      </w:r>
      <w:r w:rsidR="002F4D82">
        <w:t> </w:t>
      </w:r>
      <w:r w:rsidR="002C3B56">
        <w:t>15</w:t>
      </w:r>
      <w:r>
        <w:t>.</w:t>
      </w:r>
      <w:r w:rsidR="00243BCA">
        <w:t xml:space="preserve"> </w:t>
      </w:r>
      <w:r w:rsidR="002C3B56">
        <w:t>prosince</w:t>
      </w:r>
      <w:r w:rsidR="00D95E88">
        <w:t xml:space="preserve"> </w:t>
      </w:r>
      <w:r>
        <w:t> 201</w:t>
      </w:r>
      <w:r w:rsidR="00DB5778">
        <w:t>4</w:t>
      </w:r>
      <w:r>
        <w:t xml:space="preserve"> v</w:t>
      </w:r>
      <w:r w:rsidR="00557290">
        <w:t> 1</w:t>
      </w:r>
      <w:r w:rsidR="002C3B56">
        <w:t>3</w:t>
      </w:r>
      <w:r w:rsidR="00557290">
        <w:t>,00</w:t>
      </w:r>
      <w:r w:rsidR="000F2886">
        <w:t xml:space="preserve"> </w:t>
      </w:r>
      <w:r>
        <w:t>hod</w:t>
      </w:r>
      <w:r w:rsidR="0013749F">
        <w:t>in</w:t>
      </w:r>
      <w:r>
        <w:t>,</w:t>
      </w:r>
      <w:r w:rsidR="00C814C6">
        <w:t xml:space="preserve"> na adrese Libušina 527/36, 360 01 Karlovy  Vary.</w:t>
      </w:r>
      <w:r w:rsidR="00454761">
        <w:t xml:space="preserve"> </w:t>
      </w:r>
      <w:r>
        <w:t>Zahájení dražby bude provedeno po ukončení zápisu účastníků dražby, prohlášením licitátora, že zahajuje dražbu.</w:t>
      </w:r>
    </w:p>
    <w:p w:rsidR="004D0388" w:rsidRDefault="004D0388" w:rsidP="00A8347D">
      <w:pPr>
        <w:pStyle w:val="lnek-Monika"/>
      </w:pPr>
      <w:r>
        <w:t>předmět dražby</w:t>
      </w:r>
    </w:p>
    <w:p w:rsidR="00416C48" w:rsidRDefault="00416C48" w:rsidP="00416C48">
      <w:pPr>
        <w:pStyle w:val="Odstavecseseznamem"/>
        <w:numPr>
          <w:ilvl w:val="1"/>
          <w:numId w:val="1"/>
        </w:numPr>
        <w:ind w:left="426" w:hanging="426"/>
        <w:jc w:val="both"/>
      </w:pPr>
      <w:r>
        <w:t>Předmětem dražby je soubor věcí nemovitých, včetně všech součástí a příslušenství. Nemovité věci jsou evidované u Katastrálního úřadu pro Ústecký kraj, Katastrální pracoviště Chomutov, obec Chomutov a katastrální území Chomutov I, zapsané na listu vlastnictví č. 9268 a 4851. Předmět dražby bude dražen jako jedna dražební položka.</w:t>
      </w:r>
    </w:p>
    <w:p w:rsidR="00416C48" w:rsidRDefault="00416C48" w:rsidP="00416C48">
      <w:pPr>
        <w:rPr>
          <w:lang w:eastAsia="cs-CZ"/>
        </w:rPr>
      </w:pPr>
    </w:p>
    <w:p w:rsidR="00416C48" w:rsidRPr="003250F1" w:rsidRDefault="00416C48" w:rsidP="00416C48">
      <w:pPr>
        <w:pStyle w:val="Odstavecseseznamem"/>
        <w:numPr>
          <w:ilvl w:val="1"/>
          <w:numId w:val="1"/>
        </w:numPr>
        <w:ind w:left="426" w:hanging="426"/>
        <w:jc w:val="both"/>
        <w:rPr>
          <w:u w:val="single"/>
        </w:rPr>
      </w:pPr>
      <w:r>
        <w:rPr>
          <w:u w:val="single"/>
        </w:rPr>
        <w:t>K</w:t>
      </w:r>
      <w:r w:rsidRPr="003250F1">
        <w:rPr>
          <w:u w:val="single"/>
        </w:rPr>
        <w:t xml:space="preserve">atastrální úřad, katastrální území, list vlastnictví, seznam </w:t>
      </w:r>
      <w:r>
        <w:rPr>
          <w:u w:val="single"/>
        </w:rPr>
        <w:t>nemovitých věcí</w:t>
      </w:r>
      <w:r w:rsidRPr="003250F1">
        <w:rPr>
          <w:u w:val="single"/>
        </w:rPr>
        <w:t xml:space="preserve"> atd.:</w:t>
      </w:r>
    </w:p>
    <w:p w:rsidR="00416C48" w:rsidRPr="003250F1" w:rsidRDefault="00416C48" w:rsidP="00416C48">
      <w:pPr>
        <w:pStyle w:val="Odstavecseseznamem"/>
        <w:tabs>
          <w:tab w:val="right" w:pos="1418"/>
          <w:tab w:val="left" w:pos="1560"/>
          <w:tab w:val="left" w:pos="2410"/>
          <w:tab w:val="right" w:pos="6946"/>
          <w:tab w:val="right" w:pos="9072"/>
        </w:tabs>
        <w:ind w:left="426"/>
        <w:jc w:val="both"/>
      </w:pPr>
      <w:r w:rsidRPr="003250F1">
        <w:tab/>
        <w:t>Okres:</w:t>
      </w:r>
      <w:r w:rsidRPr="003250F1">
        <w:tab/>
      </w:r>
      <w:r>
        <w:t>CZ0422</w:t>
      </w:r>
      <w:r w:rsidRPr="003250F1">
        <w:tab/>
      </w:r>
      <w:r>
        <w:t>Chomutov</w:t>
      </w:r>
      <w:r w:rsidRPr="003250F1">
        <w:tab/>
        <w:t>Obec:</w:t>
      </w:r>
      <w:r w:rsidRPr="003250F1">
        <w:tab/>
      </w:r>
      <w:r>
        <w:t>562971 Chomutov</w:t>
      </w:r>
    </w:p>
    <w:p w:rsidR="00416C48" w:rsidRPr="003250F1" w:rsidRDefault="00416C48" w:rsidP="00416C48">
      <w:pPr>
        <w:pStyle w:val="Odstavecseseznamem"/>
        <w:tabs>
          <w:tab w:val="right" w:pos="1276"/>
          <w:tab w:val="left" w:pos="1560"/>
          <w:tab w:val="left" w:pos="2410"/>
          <w:tab w:val="right" w:pos="5954"/>
          <w:tab w:val="left" w:pos="6521"/>
          <w:tab w:val="left" w:pos="7371"/>
        </w:tabs>
        <w:ind w:left="426"/>
        <w:jc w:val="both"/>
      </w:pPr>
      <w:r w:rsidRPr="003250F1">
        <w:tab/>
        <w:t>Kat. území:</w:t>
      </w:r>
      <w:r w:rsidRPr="003250F1">
        <w:tab/>
      </w:r>
      <w:r>
        <w:t>652458</w:t>
      </w:r>
      <w:r w:rsidRPr="003250F1">
        <w:tab/>
      </w:r>
      <w:r>
        <w:t>Chomutov I</w:t>
      </w:r>
    </w:p>
    <w:p w:rsidR="00416C48" w:rsidRPr="003250F1" w:rsidRDefault="00416C48" w:rsidP="00416C48">
      <w:pPr>
        <w:pStyle w:val="Odstavecseseznamem"/>
        <w:tabs>
          <w:tab w:val="right" w:pos="1276"/>
          <w:tab w:val="left" w:pos="1560"/>
          <w:tab w:val="left" w:pos="2410"/>
          <w:tab w:val="right" w:pos="5954"/>
          <w:tab w:val="left" w:pos="6521"/>
          <w:tab w:val="left" w:pos="7371"/>
        </w:tabs>
        <w:ind w:left="426"/>
        <w:jc w:val="both"/>
      </w:pPr>
    </w:p>
    <w:p w:rsidR="00416C48" w:rsidRDefault="00416C48" w:rsidP="00416C48">
      <w:pPr>
        <w:pStyle w:val="Odstavecseseznamem"/>
        <w:tabs>
          <w:tab w:val="left" w:pos="4536"/>
          <w:tab w:val="left" w:pos="5954"/>
          <w:tab w:val="right" w:pos="9072"/>
        </w:tabs>
        <w:ind w:left="426"/>
        <w:jc w:val="both"/>
      </w:pPr>
      <w:r>
        <w:t>Nemovité věci</w:t>
      </w:r>
    </w:p>
    <w:p w:rsidR="00416C48" w:rsidRDefault="00416C48" w:rsidP="00416C48">
      <w:pPr>
        <w:pStyle w:val="Odstavecseseznamem"/>
        <w:tabs>
          <w:tab w:val="left" w:pos="4536"/>
          <w:tab w:val="left" w:pos="5954"/>
          <w:tab w:val="right" w:pos="9072"/>
        </w:tabs>
        <w:ind w:left="426"/>
        <w:jc w:val="both"/>
      </w:pPr>
      <w:r>
        <w:t>Jednotky</w:t>
      </w:r>
    </w:p>
    <w:p w:rsidR="00416C48" w:rsidRPr="00145C33" w:rsidRDefault="00416C48" w:rsidP="00416C48">
      <w:pPr>
        <w:pStyle w:val="Odstavecseseznamem"/>
        <w:tabs>
          <w:tab w:val="left" w:pos="4536"/>
          <w:tab w:val="left" w:pos="5245"/>
          <w:tab w:val="left" w:pos="5954"/>
          <w:tab w:val="left" w:pos="6521"/>
          <w:tab w:val="right" w:pos="9072"/>
        </w:tabs>
        <w:ind w:left="426"/>
        <w:jc w:val="both"/>
      </w:pPr>
      <w:r w:rsidRPr="00145C33">
        <w:t>Č.p./</w:t>
      </w:r>
      <w:r w:rsidRPr="00145C33">
        <w:tab/>
      </w:r>
      <w:r>
        <w:tab/>
      </w:r>
      <w:r>
        <w:tab/>
        <w:t>Typ</w:t>
      </w:r>
      <w:r>
        <w:tab/>
      </w:r>
      <w:r>
        <w:tab/>
      </w:r>
      <w:r w:rsidRPr="00145C33">
        <w:t>Podíl na společných</w:t>
      </w:r>
    </w:p>
    <w:p w:rsidR="00416C48" w:rsidRPr="00145C33" w:rsidRDefault="00416C48" w:rsidP="00416C48">
      <w:pPr>
        <w:pStyle w:val="Odstavecseseznamem"/>
        <w:tabs>
          <w:tab w:val="left" w:pos="1701"/>
          <w:tab w:val="left" w:pos="3969"/>
          <w:tab w:val="left" w:pos="4536"/>
          <w:tab w:val="left" w:pos="5954"/>
          <w:tab w:val="left" w:pos="6521"/>
          <w:tab w:val="right" w:pos="9072"/>
        </w:tabs>
        <w:ind w:left="426"/>
        <w:jc w:val="both"/>
        <w:rPr>
          <w:u w:val="double"/>
        </w:rPr>
      </w:pPr>
      <w:r w:rsidRPr="00145C33">
        <w:rPr>
          <w:u w:val="double"/>
        </w:rPr>
        <w:t>Č.jednotky</w:t>
      </w:r>
      <w:r w:rsidRPr="00145C33">
        <w:rPr>
          <w:u w:val="double"/>
        </w:rPr>
        <w:tab/>
        <w:t>Způsob využití</w:t>
      </w:r>
      <w:r w:rsidRPr="00145C33">
        <w:rPr>
          <w:u w:val="double"/>
        </w:rPr>
        <w:tab/>
      </w:r>
      <w:r>
        <w:rPr>
          <w:u w:val="double"/>
        </w:rPr>
        <w:t>Způsob ochrany</w:t>
      </w:r>
      <w:r>
        <w:rPr>
          <w:u w:val="double"/>
        </w:rPr>
        <w:tab/>
        <w:t>jednotky</w:t>
      </w:r>
      <w:r>
        <w:rPr>
          <w:u w:val="double"/>
        </w:rPr>
        <w:tab/>
      </w:r>
      <w:r w:rsidRPr="00145C33">
        <w:rPr>
          <w:u w:val="double"/>
        </w:rPr>
        <w:t>částech domu a pozemku</w:t>
      </w:r>
    </w:p>
    <w:p w:rsidR="00416C48" w:rsidRDefault="00416C48" w:rsidP="00416C48">
      <w:pPr>
        <w:pStyle w:val="Odstavecseseznamem"/>
        <w:tabs>
          <w:tab w:val="left" w:pos="1701"/>
          <w:tab w:val="left" w:pos="3402"/>
          <w:tab w:val="left" w:pos="5954"/>
          <w:tab w:val="right" w:pos="9072"/>
        </w:tabs>
        <w:ind w:left="426"/>
        <w:jc w:val="both"/>
      </w:pPr>
      <w:r>
        <w:t>5171</w:t>
      </w:r>
      <w:r w:rsidRPr="00145C33">
        <w:t>/</w:t>
      </w:r>
      <w:r>
        <w:t>6</w:t>
      </w:r>
      <w:r w:rsidRPr="00145C33">
        <w:tab/>
        <w:t>byt</w:t>
      </w:r>
      <w:r w:rsidRPr="00145C33">
        <w:tab/>
      </w:r>
      <w:r>
        <w:tab/>
        <w:t>byt.z.</w:t>
      </w:r>
      <w:r>
        <w:tab/>
        <w:t>603/41605</w:t>
      </w:r>
    </w:p>
    <w:p w:rsidR="00416C48" w:rsidRDefault="00416C48" w:rsidP="00416C48">
      <w:pPr>
        <w:pStyle w:val="Odstavecseseznamem"/>
        <w:tabs>
          <w:tab w:val="left" w:pos="1701"/>
          <w:tab w:val="left" w:pos="3402"/>
          <w:tab w:val="left" w:pos="6804"/>
          <w:tab w:val="right" w:pos="9072"/>
        </w:tabs>
        <w:ind w:left="426"/>
        <w:jc w:val="both"/>
      </w:pPr>
    </w:p>
    <w:p w:rsidR="00416C48" w:rsidRPr="00145C33" w:rsidRDefault="00416C48" w:rsidP="00416C48">
      <w:pPr>
        <w:pStyle w:val="Odstavecseseznamem"/>
        <w:tabs>
          <w:tab w:val="left" w:pos="1701"/>
          <w:tab w:val="left" w:pos="3402"/>
          <w:tab w:val="left" w:pos="6804"/>
          <w:tab w:val="right" w:pos="9072"/>
        </w:tabs>
        <w:ind w:left="426"/>
        <w:jc w:val="both"/>
      </w:pPr>
      <w:r>
        <w:t>Vymezeno v:</w:t>
      </w:r>
      <w:r w:rsidRPr="00145C33">
        <w:tab/>
      </w:r>
    </w:p>
    <w:p w:rsidR="00416C48" w:rsidRDefault="00416C48" w:rsidP="00416C48">
      <w:pPr>
        <w:pStyle w:val="Odstavecseseznamem"/>
        <w:tabs>
          <w:tab w:val="left" w:pos="1701"/>
          <w:tab w:val="left" w:pos="4820"/>
        </w:tabs>
        <w:ind w:left="426"/>
        <w:jc w:val="both"/>
      </w:pPr>
      <w:r>
        <w:tab/>
        <w:t>Budova Chomutov, č.p. 5169, 5170, 5171, byt. dům, LV 4851</w:t>
      </w:r>
    </w:p>
    <w:p w:rsidR="00416C48" w:rsidRDefault="00416C48" w:rsidP="00416C48">
      <w:pPr>
        <w:pStyle w:val="Odstavecseseznamem"/>
        <w:tabs>
          <w:tab w:val="left" w:pos="2410"/>
          <w:tab w:val="left" w:pos="3969"/>
        </w:tabs>
        <w:ind w:left="426"/>
        <w:jc w:val="both"/>
      </w:pPr>
      <w:r>
        <w:tab/>
        <w:t>na parcele</w:t>
      </w:r>
      <w:r>
        <w:tab/>
        <w:t>6125/29, LV 4851</w:t>
      </w:r>
    </w:p>
    <w:p w:rsidR="00416C48" w:rsidRDefault="00416C48" w:rsidP="00416C48">
      <w:pPr>
        <w:pStyle w:val="Odstavecseseznamem"/>
        <w:tabs>
          <w:tab w:val="left" w:pos="2410"/>
          <w:tab w:val="left" w:pos="3969"/>
        </w:tabs>
        <w:ind w:left="426"/>
        <w:jc w:val="both"/>
      </w:pPr>
      <w:r>
        <w:tab/>
      </w:r>
      <w:r>
        <w:tab/>
        <w:t>6125/30, LV 4851</w:t>
      </w:r>
    </w:p>
    <w:p w:rsidR="00416C48" w:rsidRDefault="00416C48" w:rsidP="00416C48">
      <w:pPr>
        <w:pStyle w:val="Odstavecseseznamem"/>
        <w:tabs>
          <w:tab w:val="left" w:pos="2410"/>
          <w:tab w:val="left" w:pos="3969"/>
        </w:tabs>
        <w:ind w:left="426"/>
        <w:jc w:val="both"/>
      </w:pPr>
      <w:r>
        <w:tab/>
      </w:r>
      <w:r>
        <w:tab/>
        <w:t>6125/31, LV 4851</w:t>
      </w:r>
    </w:p>
    <w:p w:rsidR="00416C48" w:rsidRDefault="00416C48" w:rsidP="00416C48">
      <w:pPr>
        <w:pStyle w:val="Odstavecseseznamem"/>
        <w:tabs>
          <w:tab w:val="left" w:pos="1701"/>
          <w:tab w:val="left" w:pos="2552"/>
          <w:tab w:val="left" w:pos="3402"/>
          <w:tab w:val="left" w:pos="7655"/>
        </w:tabs>
        <w:ind w:left="426"/>
        <w:jc w:val="both"/>
      </w:pPr>
      <w:r>
        <w:tab/>
        <w:t>Parcela</w:t>
      </w:r>
      <w:r>
        <w:tab/>
        <w:t>6125/29</w:t>
      </w:r>
      <w:r>
        <w:tab/>
        <w:t>zastavěná plocha a nádvoří</w:t>
      </w:r>
      <w:r>
        <w:tab/>
        <w:t>227m2</w:t>
      </w:r>
    </w:p>
    <w:p w:rsidR="00416C48" w:rsidRDefault="00416C48" w:rsidP="00416C48">
      <w:pPr>
        <w:pStyle w:val="Odstavecseseznamem"/>
        <w:tabs>
          <w:tab w:val="left" w:pos="1701"/>
          <w:tab w:val="left" w:pos="2552"/>
          <w:tab w:val="left" w:pos="3402"/>
          <w:tab w:val="left" w:pos="7655"/>
        </w:tabs>
        <w:ind w:left="426"/>
        <w:jc w:val="both"/>
      </w:pPr>
      <w:r>
        <w:tab/>
      </w:r>
      <w:r>
        <w:tab/>
        <w:t>6125/30</w:t>
      </w:r>
      <w:r>
        <w:tab/>
        <w:t>zastavěná plocha a nádvoří</w:t>
      </w:r>
      <w:r>
        <w:tab/>
        <w:t>225 m2</w:t>
      </w:r>
    </w:p>
    <w:p w:rsidR="00416C48" w:rsidRDefault="00416C48" w:rsidP="00416C48">
      <w:pPr>
        <w:pStyle w:val="Odstavecseseznamem"/>
        <w:tabs>
          <w:tab w:val="left" w:pos="1701"/>
          <w:tab w:val="left" w:pos="2552"/>
          <w:tab w:val="left" w:pos="3402"/>
          <w:tab w:val="left" w:pos="7655"/>
        </w:tabs>
        <w:ind w:left="426"/>
        <w:jc w:val="both"/>
      </w:pPr>
      <w:r>
        <w:tab/>
      </w:r>
      <w:r>
        <w:tab/>
        <w:t>6125/31</w:t>
      </w:r>
      <w:r>
        <w:tab/>
        <w:t>zastavěná plocha a nádvoří</w:t>
      </w:r>
      <w:r>
        <w:tab/>
        <w:t>228 m2</w:t>
      </w:r>
    </w:p>
    <w:p w:rsidR="00416C48" w:rsidRDefault="00416C48" w:rsidP="00416C48">
      <w:pPr>
        <w:pStyle w:val="Odstavecseseznamem"/>
        <w:tabs>
          <w:tab w:val="left" w:pos="1701"/>
          <w:tab w:val="left" w:pos="2552"/>
          <w:tab w:val="left" w:pos="3402"/>
          <w:tab w:val="left" w:pos="7655"/>
        </w:tabs>
        <w:ind w:left="426"/>
        <w:jc w:val="both"/>
      </w:pPr>
    </w:p>
    <w:p w:rsidR="00416C48" w:rsidRPr="003A51E6" w:rsidRDefault="00416C48" w:rsidP="00416C48">
      <w:pPr>
        <w:pStyle w:val="Odstavecseseznamem"/>
        <w:numPr>
          <w:ilvl w:val="1"/>
          <w:numId w:val="1"/>
        </w:numPr>
        <w:autoSpaceDE w:val="0"/>
        <w:autoSpaceDN w:val="0"/>
        <w:ind w:left="426" w:hanging="426"/>
        <w:jc w:val="both"/>
        <w:rPr>
          <w:iCs/>
        </w:rPr>
      </w:pPr>
      <w:r>
        <w:lastRenderedPageBreak/>
        <w:t xml:space="preserve">Cena předmětu dražby byla zjištěna odhadem ceny v místě a čase obvyklé. Vypracoval Ing. Milan Machovec, znalec jmenovaný KS V Plzni, č.j. Spr. 1546/96 pro obor ekonomika, pro odvětví ceny a odhady (nemovitosti) a obor stavebnictví, odvětví stavby obytné, průmyslové a zemědělské, dne 13. 05. 2014, a to na částku celkem </w:t>
      </w:r>
      <w:r>
        <w:rPr>
          <w:iCs/>
        </w:rPr>
        <w:t>280</w:t>
      </w:r>
      <w:r w:rsidRPr="003A51E6">
        <w:rPr>
          <w:iCs/>
        </w:rPr>
        <w:t>.000,- Kč.</w:t>
      </w:r>
    </w:p>
    <w:p w:rsidR="00416C48" w:rsidRDefault="00416C48" w:rsidP="00416C48">
      <w:pPr>
        <w:pStyle w:val="Odstavecseseznamem"/>
        <w:ind w:left="426"/>
        <w:jc w:val="both"/>
      </w:pPr>
    </w:p>
    <w:p w:rsidR="00416C48" w:rsidRPr="00B93830" w:rsidRDefault="00416C48" w:rsidP="00416C48">
      <w:pPr>
        <w:pStyle w:val="Odstavecseseznamem"/>
        <w:numPr>
          <w:ilvl w:val="1"/>
          <w:numId w:val="1"/>
        </w:numPr>
        <w:ind w:left="426" w:hanging="426"/>
        <w:jc w:val="both"/>
        <w:rPr>
          <w:u w:val="single"/>
        </w:rPr>
      </w:pPr>
      <w:r w:rsidRPr="00B93830">
        <w:rPr>
          <w:u w:val="single"/>
        </w:rPr>
        <w:t>S předmětem dražby jsou spojeny tyto právní vztahy a závazky:</w:t>
      </w:r>
    </w:p>
    <w:p w:rsidR="00416C48" w:rsidRPr="00154FF2" w:rsidRDefault="00416C48" w:rsidP="00416C48">
      <w:pPr>
        <w:pStyle w:val="Odstavecseseznamem"/>
        <w:numPr>
          <w:ilvl w:val="0"/>
          <w:numId w:val="7"/>
        </w:numPr>
        <w:ind w:left="426" w:hanging="284"/>
        <w:jc w:val="both"/>
      </w:pPr>
      <w:r w:rsidRPr="00154FF2">
        <w:t>Zahájení Insolvenčního řízení na základě vyhlášky Krajského soudu v Ústí nad Labem, KSUL 77 INS 21267/2011- A – 2 ze dne 18. 11. 2011</w:t>
      </w:r>
    </w:p>
    <w:p w:rsidR="00416C48" w:rsidRPr="00154FF2" w:rsidRDefault="00416C48" w:rsidP="00416C48">
      <w:pPr>
        <w:pStyle w:val="Odstavecseseznamem"/>
        <w:numPr>
          <w:ilvl w:val="0"/>
          <w:numId w:val="7"/>
        </w:numPr>
        <w:ind w:left="426" w:hanging="284"/>
        <w:jc w:val="both"/>
      </w:pPr>
      <w:r w:rsidRPr="00154FF2">
        <w:t xml:space="preserve">Zahájení Insolvenčního řízení na základě vyhlášky Krajského soudu v Ústí nad Labem, KSUL 77 INS 19939/2011 - A ze dne 1. 11. 2011 </w:t>
      </w:r>
    </w:p>
    <w:p w:rsidR="00416C48" w:rsidRPr="00154FF2" w:rsidRDefault="00416C48" w:rsidP="00416C48">
      <w:pPr>
        <w:pStyle w:val="Odstavecseseznamem"/>
        <w:numPr>
          <w:ilvl w:val="0"/>
          <w:numId w:val="7"/>
        </w:numPr>
        <w:ind w:left="426" w:hanging="284"/>
        <w:jc w:val="both"/>
      </w:pPr>
      <w:r w:rsidRPr="00154FF2">
        <w:t>Na základě usnesení Krajského soudu v Ústí nad Labem, KSUL 77 INS 19939/2011-B-8 ze dne 20. 04. 2012 schválen způsob oddlužení plněním splátkového kalendáře.</w:t>
      </w:r>
    </w:p>
    <w:p w:rsidR="00416C48" w:rsidRDefault="00416C48" w:rsidP="00416C48">
      <w:pPr>
        <w:pStyle w:val="Odstavecseseznamem"/>
        <w:numPr>
          <w:ilvl w:val="0"/>
          <w:numId w:val="7"/>
        </w:numPr>
        <w:ind w:left="426" w:hanging="284"/>
        <w:jc w:val="both"/>
      </w:pPr>
      <w:r>
        <w:t>Zástavní právo smluvní – a) pohledávky ve výši 120.000,- Kč s příslušenstvím; b) budoucí pohledávky vzniklé do 23. 10. 2017 do celkové výše 120.000,- Kč, pro ACEMA Credit Czech, a.s., Kobližná 71/2, Brno-město, 60200 Brno, RČ/IČO: 26158761, povinnost k: Jednotka 5171/6</w:t>
      </w:r>
    </w:p>
    <w:p w:rsidR="00416C48" w:rsidRDefault="00416C48" w:rsidP="00416C48">
      <w:pPr>
        <w:pStyle w:val="Odstavecseseznamem"/>
        <w:ind w:left="426"/>
        <w:jc w:val="both"/>
      </w:pPr>
      <w:r>
        <w:t>Listina: Smlouva o zřízení zástavního práva podle obč.z. ze dne 23. 07. 2009. Právní účinky vkladu práva ke dni 28. 07. 2009.</w:t>
      </w:r>
    </w:p>
    <w:p w:rsidR="00416C48" w:rsidRDefault="00416C48" w:rsidP="00416C48">
      <w:pPr>
        <w:pStyle w:val="Odstavecseseznamem"/>
        <w:ind w:left="426"/>
        <w:jc w:val="both"/>
      </w:pPr>
      <w:r>
        <w:t>Pořadí k datu podle právní úpravy účinné v době vzniku práva</w:t>
      </w:r>
    </w:p>
    <w:p w:rsidR="00416C48" w:rsidRDefault="00416C48" w:rsidP="00416C48">
      <w:pPr>
        <w:pStyle w:val="Odstavecseseznamem"/>
        <w:numPr>
          <w:ilvl w:val="0"/>
          <w:numId w:val="7"/>
        </w:numPr>
        <w:ind w:left="426" w:hanging="284"/>
        <w:jc w:val="both"/>
      </w:pPr>
      <w:r>
        <w:t>Rozhodnutí o úpadku (§ 136 odst. 1 insolvenčního zákona), povinnost k: Buchalová Jitka</w:t>
      </w:r>
    </w:p>
    <w:p w:rsidR="00416C48" w:rsidRDefault="00416C48" w:rsidP="00416C48">
      <w:pPr>
        <w:pStyle w:val="Odstavecseseznamem"/>
        <w:ind w:left="426"/>
        <w:jc w:val="both"/>
      </w:pPr>
      <w:r>
        <w:t>Listina: Usnesení insolvenčního soudu o úpadku KSUL 77 INS-19939/2011-A-15 (KSUL 77 INS 19939/2011-B-1) ze dne 23. 02. 2012; uloženo na prac. Chomutov</w:t>
      </w:r>
    </w:p>
    <w:p w:rsidR="00416C48" w:rsidRDefault="00416C48" w:rsidP="00416C48">
      <w:pPr>
        <w:pStyle w:val="Odstavecseseznamem"/>
        <w:numPr>
          <w:ilvl w:val="0"/>
          <w:numId w:val="7"/>
        </w:numPr>
        <w:ind w:left="426" w:hanging="284"/>
        <w:jc w:val="both"/>
      </w:pPr>
      <w:r>
        <w:t>Rozhodnutí o úpadku (§ 136 odst. 1 insolvenčního zákona), povinnost k: Buchal Vladimír</w:t>
      </w:r>
    </w:p>
    <w:p w:rsidR="00416C48" w:rsidRDefault="00416C48" w:rsidP="00416C48">
      <w:pPr>
        <w:pStyle w:val="Odstavecseseznamem"/>
        <w:ind w:left="426"/>
        <w:jc w:val="both"/>
      </w:pPr>
      <w:r>
        <w:t>Listina: Usnesení insolvenčního soudu o úpadku KSUL 77 INS-19939/2011-A-15 (KSUL 77 INS 19939/2011-B-1) ze dne 23. 02. 2012; uloženo na prac. Chomutov</w:t>
      </w:r>
    </w:p>
    <w:p w:rsidR="00416C48" w:rsidRDefault="00416C48" w:rsidP="00416C48">
      <w:pPr>
        <w:pStyle w:val="Odstavecseseznamem"/>
        <w:numPr>
          <w:ilvl w:val="0"/>
          <w:numId w:val="7"/>
        </w:numPr>
        <w:ind w:left="426" w:hanging="426"/>
        <w:jc w:val="both"/>
      </w:pPr>
      <w:r>
        <w:t>Nařízení exekuce soudní exekutor: JUDr. Igor Olma, povinnost k: Buchal Vladimír</w:t>
      </w:r>
    </w:p>
    <w:p w:rsidR="00416C48" w:rsidRDefault="00416C48" w:rsidP="00416C48">
      <w:pPr>
        <w:pStyle w:val="Odstavecseseznamem"/>
        <w:ind w:left="426"/>
        <w:jc w:val="both"/>
      </w:pPr>
      <w:r>
        <w:t>Listina: Usnesení soudu o nařízení exekuce 10 EXE-10600/2012-10 ze dne 01. 06. 2012; uloženo na prac. Chomutov</w:t>
      </w:r>
    </w:p>
    <w:p w:rsidR="00416C48" w:rsidRDefault="00416C48" w:rsidP="00416C48">
      <w:pPr>
        <w:pStyle w:val="Odstavecseseznamem"/>
        <w:ind w:left="426"/>
        <w:jc w:val="both"/>
      </w:pPr>
    </w:p>
    <w:p w:rsidR="00416C48" w:rsidRDefault="00416C48" w:rsidP="00416C48">
      <w:pPr>
        <w:pStyle w:val="Odstavecseseznamem"/>
        <w:numPr>
          <w:ilvl w:val="1"/>
          <w:numId w:val="1"/>
        </w:numPr>
        <w:ind w:left="426" w:hanging="426"/>
        <w:jc w:val="both"/>
      </w:pPr>
      <w:r>
        <w:t xml:space="preserve">Dle ust. § 285 odst. 1 a § 167 odst. 4 zákona č. 182/2006 Sb. Insolvenčního zákona zpeněžením předmětu dražby v konkursu zanikají účinky nařízení výkonu rozhodnutí nebo exekuce. Zpeněžením předmětu dražby v konkursu zanikají též zástavní práva, zdržovací práva, omezení převodu nemovitosti, zajišťovací převod práva nebo postoupení pohledávky k zajištění. </w:t>
      </w:r>
      <w:r>
        <w:br/>
        <w:t>Práva osob oprávněných z věcných břemen váznoucích na předmětu dražby zůstávají přechodem vlastnictví dražbou nedotčena.</w:t>
      </w:r>
    </w:p>
    <w:p w:rsidR="00416C48" w:rsidRDefault="00416C48" w:rsidP="00416C48">
      <w:pPr>
        <w:pStyle w:val="Odstavecseseznamem"/>
        <w:ind w:left="426"/>
        <w:jc w:val="both"/>
      </w:pPr>
    </w:p>
    <w:p w:rsidR="00416C48" w:rsidRDefault="00416C48" w:rsidP="00416C48">
      <w:pPr>
        <w:pStyle w:val="Odstavecseseznamem"/>
        <w:numPr>
          <w:ilvl w:val="1"/>
          <w:numId w:val="1"/>
        </w:numPr>
        <w:ind w:left="426" w:hanging="426"/>
        <w:rPr>
          <w:u w:val="single"/>
        </w:rPr>
      </w:pPr>
      <w:r w:rsidRPr="00B93830">
        <w:rPr>
          <w:u w:val="single"/>
        </w:rPr>
        <w:t xml:space="preserve">Popis skutečného stavu </w:t>
      </w:r>
      <w:r>
        <w:rPr>
          <w:u w:val="single"/>
        </w:rPr>
        <w:t>nemovitých věcí</w:t>
      </w:r>
      <w:r w:rsidRPr="00B93830">
        <w:rPr>
          <w:u w:val="single"/>
        </w:rPr>
        <w:t>:</w:t>
      </w:r>
    </w:p>
    <w:p w:rsidR="00416C48" w:rsidRPr="00303A77" w:rsidRDefault="00416C48" w:rsidP="00416C48">
      <w:pPr>
        <w:pStyle w:val="Odstavecseseznamem"/>
        <w:ind w:left="426" w:hanging="142"/>
        <w:jc w:val="both"/>
        <w:rPr>
          <w:rFonts w:cs="Arial"/>
          <w:color w:val="000000"/>
        </w:rPr>
      </w:pPr>
      <w:r>
        <w:rPr>
          <w:rFonts w:cs="Arial"/>
          <w:color w:val="000000"/>
        </w:rPr>
        <w:t xml:space="preserve">   N</w:t>
      </w:r>
      <w:r w:rsidRPr="00303A77">
        <w:rPr>
          <w:rFonts w:cs="Arial"/>
          <w:color w:val="000000"/>
        </w:rPr>
        <w:t>emovitost se nachází v okresním městě Chomutov. Město situováno v severozápadní části České republiky (na západním okraji Ústeckého kraje) při silnici č. 13 spojující Karlovy Vary s Ústím nad Labem. V místě kompletní infrastruktura, železniční nádraží a trasy dálkové autobusové dopravy. Předmětem je byt vymezený v panelovém bytovém domě umístěném v severovýchodní okrajové části města. Dům se nachází v rámci panelového sídliště Zahradní ve stejnojmenné ulici (v její jižní části, na okraji sídliště, pod Kamenným Lomem). V dotčeném místě je ulice skoro souběžná se silnicí I. třídy č. 13 (ve vzdálenosti necelých 300 m). Budova volně stojící, umístěná nedaleko křižovatky ulice Zahradní a Kamenná. Okolní částečnou zástavbu tvoří zejména obdobné panelové domy, dále objekty obč. vybavenosti. V blízkosti či velmi dobrém dosahu oceňované nemovitosti širší obchodní síť a občanská vybavenost, u domu parkoviště. Centrum vzdáleno cca 2 až 2,5 km.</w:t>
      </w:r>
    </w:p>
    <w:p w:rsidR="00416C48" w:rsidRDefault="00416C48" w:rsidP="00416C48">
      <w:pPr>
        <w:pStyle w:val="Odstavecseseznamem"/>
        <w:ind w:left="426"/>
        <w:jc w:val="both"/>
      </w:pPr>
      <w:r>
        <w:t xml:space="preserve"> </w:t>
      </w:r>
    </w:p>
    <w:p w:rsidR="00416C48" w:rsidRPr="00A657CC" w:rsidRDefault="00416C48" w:rsidP="00416C48">
      <w:pPr>
        <w:pStyle w:val="Odstavecseseznamem"/>
        <w:ind w:left="426"/>
        <w:rPr>
          <w:u w:val="single"/>
        </w:rPr>
      </w:pPr>
      <w:r w:rsidRPr="00A657CC">
        <w:rPr>
          <w:u w:val="single"/>
        </w:rPr>
        <w:t xml:space="preserve">Popis </w:t>
      </w:r>
      <w:r>
        <w:rPr>
          <w:u w:val="single"/>
        </w:rPr>
        <w:t>budovy</w:t>
      </w:r>
    </w:p>
    <w:p w:rsidR="00416C48" w:rsidRPr="00A71E96" w:rsidRDefault="00416C48" w:rsidP="00416C48">
      <w:pPr>
        <w:pStyle w:val="Odstavecseseznamem"/>
        <w:ind w:left="426"/>
        <w:jc w:val="both"/>
        <w:rPr>
          <w:rFonts w:cs="Arial"/>
          <w:bCs/>
          <w:color w:val="000000"/>
        </w:rPr>
      </w:pPr>
      <w:r w:rsidRPr="00A71E96">
        <w:rPr>
          <w:rFonts w:cs="Arial"/>
          <w:bCs/>
          <w:color w:val="000000"/>
        </w:rPr>
        <w:t xml:space="preserve">Bytový dům - typový panelový dům T 06 B KV, plochá střecha, vnější zateplení a ušlechtilé omítky, obnovené plast. rozvody vody, výtah. Budova volně stojící, počet sekcí 3, 1. PP a 8. NP, 72 bytových jednotek a 1 nebytová jednotka. Dílčí rekonstrukce v roce 2007 - </w:t>
      </w:r>
      <w:r w:rsidRPr="00A71E96">
        <w:rPr>
          <w:rFonts w:cs="Arial"/>
          <w:color w:val="000000"/>
        </w:rPr>
        <w:t xml:space="preserve">fasáda, zateplení, okna, rekonstrukce v interiéru domu (plast. rozvod teplé vody). </w:t>
      </w:r>
    </w:p>
    <w:p w:rsidR="00416C48" w:rsidRPr="00D81378" w:rsidRDefault="00416C48" w:rsidP="00416C48">
      <w:pPr>
        <w:pStyle w:val="Odstavecseseznamem"/>
        <w:ind w:left="426"/>
        <w:jc w:val="both"/>
        <w:rPr>
          <w:rFonts w:cs="Arial"/>
          <w:bCs/>
          <w:color w:val="000000"/>
        </w:rPr>
      </w:pPr>
    </w:p>
    <w:p w:rsidR="00416C48" w:rsidRPr="00A657CC" w:rsidRDefault="00416C48" w:rsidP="00416C48">
      <w:pPr>
        <w:pStyle w:val="Odstavecseseznamem"/>
        <w:ind w:left="426"/>
        <w:rPr>
          <w:u w:val="single"/>
        </w:rPr>
      </w:pPr>
      <w:r w:rsidRPr="00A657CC">
        <w:rPr>
          <w:u w:val="single"/>
        </w:rPr>
        <w:t>Popis bytové jednotky</w:t>
      </w:r>
    </w:p>
    <w:p w:rsidR="00416C48" w:rsidRPr="00A71E96" w:rsidRDefault="00416C48" w:rsidP="00416C48">
      <w:pPr>
        <w:widowControl w:val="0"/>
        <w:ind w:left="426" w:right="57"/>
        <w:rPr>
          <w:rFonts w:cs="Arial"/>
          <w:bCs/>
          <w:color w:val="000000"/>
        </w:rPr>
      </w:pPr>
      <w:r w:rsidRPr="00A71E96">
        <w:rPr>
          <w:rFonts w:cs="Arial"/>
          <w:color w:val="000000"/>
        </w:rPr>
        <w:t>Standardní byt se starším či původním vybavením, přev. bez rekonstrukcí a oprav (kromě oken, zasklení lodžie, a vnitřních obkladů stěn a stropů v kuchyni a předsíni), celkově v dobrém stavu, bez závad a s prováděnou údržbou.</w:t>
      </w:r>
      <w:r>
        <w:rPr>
          <w:rFonts w:cs="Arial"/>
          <w:color w:val="000000"/>
        </w:rPr>
        <w:t xml:space="preserve"> </w:t>
      </w:r>
      <w:r w:rsidRPr="00A71E96">
        <w:rPr>
          <w:rFonts w:cs="Arial"/>
          <w:bCs/>
          <w:color w:val="000000"/>
        </w:rPr>
        <w:t xml:space="preserve">Vytápění - Dálkové (zdroj mimo budovu), dílčí rekonstrukce v letech 2007 a 2012 – výměna oken za plastová, vnitřní obklady.  </w:t>
      </w:r>
      <w:r>
        <w:rPr>
          <w:rFonts w:cs="Arial"/>
          <w:bCs/>
          <w:color w:val="000000"/>
        </w:rPr>
        <w:t xml:space="preserve">Vápenné štukové omítky, v KU a PŘ dřevěné palubkové obklady stěn a polystyrenové šablony na stropech. Dveře plné hladké s nátěrem prosklené, okna plastová s izolačním dvojsklem, zasklená lodžie, elektroinstalace světelná a motorová, voda S+T, ohřev S+T vidy centrální. Vybavení kuchyně – standardní kuchyňská linka a sporák.  Standardní vana, umyvadlo a WC mísa, prefabrikované umakartové bytové jádro. </w:t>
      </w:r>
    </w:p>
    <w:p w:rsidR="00416C48" w:rsidRPr="00A71E96" w:rsidRDefault="00416C48" w:rsidP="00416C48">
      <w:pPr>
        <w:widowControl w:val="0"/>
        <w:ind w:left="57" w:right="57"/>
        <w:rPr>
          <w:rFonts w:cs="Arial"/>
          <w:i/>
          <w:iCs/>
          <w:color w:val="000000"/>
          <w:u w:val="single"/>
        </w:rPr>
      </w:pPr>
    </w:p>
    <w:p w:rsidR="00416C48" w:rsidRPr="00430287" w:rsidRDefault="00416C48" w:rsidP="00416C48">
      <w:pPr>
        <w:widowControl w:val="0"/>
        <w:ind w:left="426" w:right="57"/>
        <w:rPr>
          <w:rFonts w:cs="Arial"/>
          <w:i/>
          <w:iCs/>
          <w:color w:val="000000"/>
        </w:rPr>
      </w:pPr>
      <w:r>
        <w:rPr>
          <w:rFonts w:cs="Arial"/>
          <w:i/>
          <w:iCs/>
          <w:color w:val="000000"/>
        </w:rPr>
        <w:t>D</w:t>
      </w:r>
      <w:r w:rsidRPr="00430287">
        <w:rPr>
          <w:rFonts w:cs="Arial"/>
          <w:i/>
          <w:iCs/>
          <w:color w:val="000000"/>
        </w:rPr>
        <w:t>ispozice :</w:t>
      </w:r>
    </w:p>
    <w:p w:rsidR="00416C48" w:rsidRPr="00430287" w:rsidRDefault="00416C48" w:rsidP="00416C48">
      <w:pPr>
        <w:pStyle w:val="Odstavecseseznamem"/>
        <w:ind w:left="426"/>
        <w:jc w:val="both"/>
      </w:pPr>
      <w:r w:rsidRPr="00430287">
        <w:rPr>
          <w:rFonts w:cs="Arial"/>
          <w:color w:val="000000"/>
        </w:rPr>
        <w:t>byt 2+1 – předsíň a dále přístupné bytové jádro (WC s průchodem do koupelny), oba pokoje (jeden vč. lodžie) a kuchyně, z ní vstup do druhého pokoje na do koupelny, v 1. podzemním podlaží vymezena sklepní kóje k</w:t>
      </w:r>
      <w:r w:rsidR="0005187B">
        <w:rPr>
          <w:rFonts w:cs="Arial"/>
          <w:color w:val="000000"/>
        </w:rPr>
        <w:t> bytu.</w:t>
      </w:r>
    </w:p>
    <w:p w:rsidR="00416C48" w:rsidRDefault="00416C48" w:rsidP="00416C48">
      <w:pPr>
        <w:pStyle w:val="Odstavecseseznamem"/>
        <w:ind w:left="426"/>
      </w:pPr>
    </w:p>
    <w:p w:rsidR="00416C48" w:rsidRPr="00A657CC" w:rsidRDefault="00416C48" w:rsidP="00416C48">
      <w:pPr>
        <w:pStyle w:val="Odstavecseseznamem"/>
        <w:ind w:left="426"/>
        <w:rPr>
          <w:u w:val="single"/>
        </w:rPr>
      </w:pPr>
      <w:r w:rsidRPr="00A657CC">
        <w:rPr>
          <w:u w:val="single"/>
        </w:rPr>
        <w:t>Dispozice bytové jednotky</w:t>
      </w:r>
    </w:p>
    <w:tbl>
      <w:tblPr>
        <w:tblW w:w="7986" w:type="dxa"/>
        <w:tblInd w:w="426" w:type="dxa"/>
        <w:tblLayout w:type="fixed"/>
        <w:tblCellMar>
          <w:left w:w="0" w:type="dxa"/>
          <w:right w:w="0" w:type="dxa"/>
        </w:tblCellMar>
        <w:tblLook w:val="0000" w:firstRow="0" w:lastRow="0" w:firstColumn="0" w:lastColumn="0" w:noHBand="0" w:noVBand="0"/>
      </w:tblPr>
      <w:tblGrid>
        <w:gridCol w:w="3515"/>
        <w:gridCol w:w="28"/>
        <w:gridCol w:w="20"/>
        <w:gridCol w:w="405"/>
        <w:gridCol w:w="28"/>
        <w:gridCol w:w="20"/>
        <w:gridCol w:w="2042"/>
        <w:gridCol w:w="1928"/>
      </w:tblGrid>
      <w:tr w:rsidR="00416C48" w:rsidRPr="00D81378" w:rsidTr="005E589A">
        <w:trPr>
          <w:gridAfter w:val="1"/>
          <w:wAfter w:w="1928" w:type="dxa"/>
        </w:trPr>
        <w:tc>
          <w:tcPr>
            <w:tcW w:w="3515" w:type="dxa"/>
          </w:tcPr>
          <w:p w:rsidR="00416C48" w:rsidRPr="00D81378" w:rsidRDefault="00416C48" w:rsidP="00EF3D80">
            <w:pPr>
              <w:widowControl w:val="0"/>
              <w:tabs>
                <w:tab w:val="left" w:pos="4230"/>
              </w:tabs>
              <w:ind w:left="113"/>
              <w:rPr>
                <w:rFonts w:cs="Arial"/>
                <w:color w:val="000000"/>
              </w:rPr>
            </w:pPr>
            <w:r w:rsidRPr="00D81378">
              <w:rPr>
                <w:rFonts w:cs="Arial"/>
                <w:color w:val="000000"/>
              </w:rPr>
              <w:t>pokoj</w:t>
            </w:r>
          </w:p>
        </w:tc>
        <w:tc>
          <w:tcPr>
            <w:tcW w:w="28" w:type="dxa"/>
          </w:tcPr>
          <w:p w:rsidR="00416C48" w:rsidRPr="00D81378" w:rsidRDefault="00416C48" w:rsidP="00EF3D80">
            <w:pPr>
              <w:widowControl w:val="0"/>
              <w:tabs>
                <w:tab w:val="right" w:pos="1620"/>
                <w:tab w:val="left" w:pos="4230"/>
              </w:tabs>
              <w:rPr>
                <w:rFonts w:cs="Arial"/>
                <w:color w:val="000000"/>
                <w:vertAlign w:val="superscript"/>
              </w:rPr>
            </w:pPr>
          </w:p>
        </w:tc>
        <w:tc>
          <w:tcPr>
            <w:tcW w:w="20" w:type="dxa"/>
          </w:tcPr>
          <w:p w:rsidR="00416C48" w:rsidRPr="00D81378" w:rsidRDefault="00416C48" w:rsidP="005E589A">
            <w:pPr>
              <w:widowControl w:val="0"/>
              <w:ind w:left="-199" w:firstLine="199"/>
              <w:jc w:val="center"/>
              <w:rPr>
                <w:rFonts w:cs="Arial"/>
                <w:color w:val="000000"/>
              </w:rPr>
            </w:pPr>
          </w:p>
        </w:tc>
        <w:tc>
          <w:tcPr>
            <w:tcW w:w="2495" w:type="dxa"/>
            <w:gridSpan w:val="4"/>
          </w:tcPr>
          <w:p w:rsidR="00416C48" w:rsidRPr="00D81378" w:rsidRDefault="00416C48" w:rsidP="00EF3D80">
            <w:pPr>
              <w:widowControl w:val="0"/>
              <w:tabs>
                <w:tab w:val="right" w:pos="1620"/>
                <w:tab w:val="left" w:pos="4230"/>
              </w:tabs>
              <w:rPr>
                <w:rFonts w:cs="Arial"/>
                <w:color w:val="000000"/>
                <w:vertAlign w:val="superscript"/>
              </w:rPr>
            </w:pPr>
            <w:r w:rsidRPr="00D81378">
              <w:rPr>
                <w:rFonts w:cs="Arial"/>
                <w:color w:val="000000"/>
              </w:rPr>
              <w:tab/>
              <w:t>20,20 m</w:t>
            </w:r>
            <w:r w:rsidRPr="00D81378">
              <w:rPr>
                <w:rFonts w:cs="Arial"/>
                <w:color w:val="000000"/>
                <w:vertAlign w:val="superscript"/>
              </w:rPr>
              <w:t>2</w:t>
            </w:r>
          </w:p>
        </w:tc>
      </w:tr>
      <w:tr w:rsidR="00416C48" w:rsidRPr="00D81378" w:rsidTr="005E589A">
        <w:trPr>
          <w:gridAfter w:val="1"/>
          <w:wAfter w:w="1928" w:type="dxa"/>
        </w:trPr>
        <w:tc>
          <w:tcPr>
            <w:tcW w:w="3515" w:type="dxa"/>
          </w:tcPr>
          <w:p w:rsidR="00416C48" w:rsidRPr="00D81378" w:rsidRDefault="00416C48" w:rsidP="00EF3D80">
            <w:pPr>
              <w:widowControl w:val="0"/>
              <w:tabs>
                <w:tab w:val="left" w:pos="4230"/>
              </w:tabs>
              <w:ind w:left="113"/>
              <w:rPr>
                <w:rFonts w:cs="Arial"/>
                <w:color w:val="000000"/>
              </w:rPr>
            </w:pPr>
            <w:r w:rsidRPr="00D81378">
              <w:rPr>
                <w:rFonts w:cs="Arial"/>
                <w:color w:val="000000"/>
              </w:rPr>
              <w:t>pokoj</w:t>
            </w:r>
          </w:p>
        </w:tc>
        <w:tc>
          <w:tcPr>
            <w:tcW w:w="28" w:type="dxa"/>
          </w:tcPr>
          <w:p w:rsidR="00416C48" w:rsidRPr="00D81378" w:rsidRDefault="00416C48" w:rsidP="00EF3D80">
            <w:pPr>
              <w:widowControl w:val="0"/>
              <w:tabs>
                <w:tab w:val="right" w:pos="1620"/>
                <w:tab w:val="left" w:pos="4230"/>
              </w:tabs>
              <w:rPr>
                <w:rFonts w:cs="Arial"/>
                <w:color w:val="000000"/>
                <w:vertAlign w:val="superscript"/>
              </w:rPr>
            </w:pPr>
          </w:p>
        </w:tc>
        <w:tc>
          <w:tcPr>
            <w:tcW w:w="20" w:type="dxa"/>
          </w:tcPr>
          <w:p w:rsidR="00416C48" w:rsidRPr="00D81378" w:rsidRDefault="00416C48" w:rsidP="00EF3D80">
            <w:pPr>
              <w:widowControl w:val="0"/>
              <w:jc w:val="center"/>
              <w:rPr>
                <w:rFonts w:cs="Arial"/>
                <w:color w:val="000000"/>
              </w:rPr>
            </w:pPr>
          </w:p>
        </w:tc>
        <w:tc>
          <w:tcPr>
            <w:tcW w:w="2495" w:type="dxa"/>
            <w:gridSpan w:val="4"/>
          </w:tcPr>
          <w:p w:rsidR="00416C48" w:rsidRPr="00D81378" w:rsidRDefault="00416C48" w:rsidP="00EF3D80">
            <w:pPr>
              <w:widowControl w:val="0"/>
              <w:tabs>
                <w:tab w:val="right" w:pos="1620"/>
                <w:tab w:val="left" w:pos="4230"/>
              </w:tabs>
              <w:rPr>
                <w:rFonts w:cs="Arial"/>
                <w:color w:val="000000"/>
                <w:vertAlign w:val="superscript"/>
              </w:rPr>
            </w:pPr>
            <w:r w:rsidRPr="00D81378">
              <w:rPr>
                <w:rFonts w:cs="Arial"/>
                <w:color w:val="000000"/>
              </w:rPr>
              <w:tab/>
              <w:t>16,00 m</w:t>
            </w:r>
            <w:r w:rsidRPr="00D81378">
              <w:rPr>
                <w:rFonts w:cs="Arial"/>
                <w:color w:val="000000"/>
                <w:vertAlign w:val="superscript"/>
              </w:rPr>
              <w:t>2</w:t>
            </w:r>
          </w:p>
        </w:tc>
      </w:tr>
      <w:tr w:rsidR="00416C48" w:rsidRPr="00D81378" w:rsidTr="005E589A">
        <w:trPr>
          <w:gridAfter w:val="1"/>
          <w:wAfter w:w="1928" w:type="dxa"/>
        </w:trPr>
        <w:tc>
          <w:tcPr>
            <w:tcW w:w="3515" w:type="dxa"/>
          </w:tcPr>
          <w:p w:rsidR="00416C48" w:rsidRPr="00D81378" w:rsidRDefault="00416C48" w:rsidP="00EF3D80">
            <w:pPr>
              <w:widowControl w:val="0"/>
              <w:tabs>
                <w:tab w:val="left" w:pos="4230"/>
              </w:tabs>
              <w:ind w:left="113"/>
              <w:rPr>
                <w:rFonts w:cs="Arial"/>
                <w:color w:val="000000"/>
              </w:rPr>
            </w:pPr>
            <w:r w:rsidRPr="00D81378">
              <w:rPr>
                <w:rFonts w:cs="Arial"/>
                <w:color w:val="000000"/>
              </w:rPr>
              <w:t>kuchyň</w:t>
            </w:r>
          </w:p>
        </w:tc>
        <w:tc>
          <w:tcPr>
            <w:tcW w:w="28" w:type="dxa"/>
          </w:tcPr>
          <w:p w:rsidR="00416C48" w:rsidRPr="00D81378" w:rsidRDefault="00416C48" w:rsidP="00EF3D80">
            <w:pPr>
              <w:widowControl w:val="0"/>
              <w:tabs>
                <w:tab w:val="right" w:pos="1620"/>
                <w:tab w:val="left" w:pos="4230"/>
              </w:tabs>
              <w:rPr>
                <w:rFonts w:cs="Arial"/>
                <w:color w:val="000000"/>
                <w:vertAlign w:val="superscript"/>
              </w:rPr>
            </w:pPr>
          </w:p>
        </w:tc>
        <w:tc>
          <w:tcPr>
            <w:tcW w:w="20" w:type="dxa"/>
          </w:tcPr>
          <w:p w:rsidR="00416C48" w:rsidRPr="00D81378" w:rsidRDefault="00416C48" w:rsidP="00EF3D80">
            <w:pPr>
              <w:widowControl w:val="0"/>
              <w:jc w:val="center"/>
              <w:rPr>
                <w:rFonts w:cs="Arial"/>
                <w:color w:val="000000"/>
              </w:rPr>
            </w:pPr>
          </w:p>
        </w:tc>
        <w:tc>
          <w:tcPr>
            <w:tcW w:w="2495" w:type="dxa"/>
            <w:gridSpan w:val="4"/>
          </w:tcPr>
          <w:p w:rsidR="00416C48" w:rsidRPr="00D81378" w:rsidRDefault="00416C48" w:rsidP="00EF3D80">
            <w:pPr>
              <w:widowControl w:val="0"/>
              <w:tabs>
                <w:tab w:val="right" w:pos="1620"/>
                <w:tab w:val="left" w:pos="4230"/>
              </w:tabs>
              <w:rPr>
                <w:rFonts w:cs="Arial"/>
                <w:color w:val="000000"/>
                <w:vertAlign w:val="superscript"/>
              </w:rPr>
            </w:pPr>
            <w:r w:rsidRPr="00D81378">
              <w:rPr>
                <w:rFonts w:cs="Arial"/>
                <w:color w:val="000000"/>
              </w:rPr>
              <w:tab/>
              <w:t>12,40 m</w:t>
            </w:r>
            <w:r w:rsidRPr="00D81378">
              <w:rPr>
                <w:rFonts w:cs="Arial"/>
                <w:color w:val="000000"/>
                <w:vertAlign w:val="superscript"/>
              </w:rPr>
              <w:t>2</w:t>
            </w:r>
          </w:p>
        </w:tc>
      </w:tr>
      <w:tr w:rsidR="00416C48" w:rsidRPr="00D81378" w:rsidTr="005E589A">
        <w:trPr>
          <w:gridAfter w:val="1"/>
          <w:wAfter w:w="1928" w:type="dxa"/>
        </w:trPr>
        <w:tc>
          <w:tcPr>
            <w:tcW w:w="3515" w:type="dxa"/>
          </w:tcPr>
          <w:p w:rsidR="00416C48" w:rsidRPr="00D81378" w:rsidRDefault="00416C48" w:rsidP="00EF3D80">
            <w:pPr>
              <w:widowControl w:val="0"/>
              <w:tabs>
                <w:tab w:val="left" w:pos="4230"/>
              </w:tabs>
              <w:ind w:left="113"/>
              <w:rPr>
                <w:rFonts w:cs="Arial"/>
                <w:color w:val="000000"/>
              </w:rPr>
            </w:pPr>
            <w:r w:rsidRPr="00D81378">
              <w:rPr>
                <w:rFonts w:cs="Arial"/>
                <w:color w:val="000000"/>
              </w:rPr>
              <w:t>předsíň</w:t>
            </w:r>
          </w:p>
        </w:tc>
        <w:tc>
          <w:tcPr>
            <w:tcW w:w="28" w:type="dxa"/>
          </w:tcPr>
          <w:p w:rsidR="00416C48" w:rsidRPr="00D81378" w:rsidRDefault="00416C48" w:rsidP="00EF3D80">
            <w:pPr>
              <w:widowControl w:val="0"/>
              <w:tabs>
                <w:tab w:val="right" w:pos="1620"/>
                <w:tab w:val="left" w:pos="4230"/>
              </w:tabs>
              <w:rPr>
                <w:rFonts w:cs="Arial"/>
                <w:color w:val="000000"/>
                <w:vertAlign w:val="superscript"/>
              </w:rPr>
            </w:pPr>
          </w:p>
        </w:tc>
        <w:tc>
          <w:tcPr>
            <w:tcW w:w="20" w:type="dxa"/>
          </w:tcPr>
          <w:p w:rsidR="00416C48" w:rsidRPr="00D81378" w:rsidRDefault="00416C48" w:rsidP="00EF3D80">
            <w:pPr>
              <w:widowControl w:val="0"/>
              <w:jc w:val="center"/>
              <w:rPr>
                <w:rFonts w:cs="Arial"/>
                <w:color w:val="000000"/>
              </w:rPr>
            </w:pPr>
          </w:p>
        </w:tc>
        <w:tc>
          <w:tcPr>
            <w:tcW w:w="2495" w:type="dxa"/>
            <w:gridSpan w:val="4"/>
          </w:tcPr>
          <w:p w:rsidR="00416C48" w:rsidRPr="00D81378" w:rsidRDefault="00416C48" w:rsidP="00EF3D80">
            <w:pPr>
              <w:widowControl w:val="0"/>
              <w:tabs>
                <w:tab w:val="right" w:pos="1620"/>
                <w:tab w:val="left" w:pos="4230"/>
              </w:tabs>
              <w:rPr>
                <w:rFonts w:cs="Arial"/>
                <w:color w:val="000000"/>
                <w:vertAlign w:val="superscript"/>
              </w:rPr>
            </w:pPr>
            <w:r w:rsidRPr="00D81378">
              <w:rPr>
                <w:rFonts w:cs="Arial"/>
                <w:color w:val="000000"/>
              </w:rPr>
              <w:tab/>
              <w:t>8,20 m</w:t>
            </w:r>
            <w:r w:rsidRPr="00D81378">
              <w:rPr>
                <w:rFonts w:cs="Arial"/>
                <w:color w:val="000000"/>
                <w:vertAlign w:val="superscript"/>
              </w:rPr>
              <w:t>2</w:t>
            </w:r>
          </w:p>
        </w:tc>
      </w:tr>
      <w:tr w:rsidR="00416C48" w:rsidRPr="00D81378" w:rsidTr="005E589A">
        <w:trPr>
          <w:gridAfter w:val="1"/>
          <w:wAfter w:w="1928" w:type="dxa"/>
        </w:trPr>
        <w:tc>
          <w:tcPr>
            <w:tcW w:w="3515" w:type="dxa"/>
          </w:tcPr>
          <w:p w:rsidR="00416C48" w:rsidRPr="00D81378" w:rsidRDefault="00416C48" w:rsidP="00EF3D80">
            <w:pPr>
              <w:widowControl w:val="0"/>
              <w:tabs>
                <w:tab w:val="left" w:pos="4230"/>
              </w:tabs>
              <w:ind w:left="113"/>
              <w:rPr>
                <w:rFonts w:cs="Arial"/>
                <w:color w:val="000000"/>
              </w:rPr>
            </w:pPr>
            <w:r w:rsidRPr="00D81378">
              <w:rPr>
                <w:rFonts w:cs="Arial"/>
                <w:color w:val="000000"/>
              </w:rPr>
              <w:t xml:space="preserve">koupelna </w:t>
            </w:r>
          </w:p>
        </w:tc>
        <w:tc>
          <w:tcPr>
            <w:tcW w:w="28" w:type="dxa"/>
          </w:tcPr>
          <w:p w:rsidR="00416C48" w:rsidRPr="00D81378" w:rsidRDefault="00416C48" w:rsidP="00EF3D80">
            <w:pPr>
              <w:widowControl w:val="0"/>
              <w:tabs>
                <w:tab w:val="right" w:pos="1620"/>
                <w:tab w:val="left" w:pos="4230"/>
              </w:tabs>
              <w:rPr>
                <w:rFonts w:cs="Arial"/>
                <w:color w:val="000000"/>
                <w:vertAlign w:val="superscript"/>
              </w:rPr>
            </w:pPr>
          </w:p>
        </w:tc>
        <w:tc>
          <w:tcPr>
            <w:tcW w:w="20" w:type="dxa"/>
          </w:tcPr>
          <w:p w:rsidR="00416C48" w:rsidRPr="00D81378" w:rsidRDefault="00416C48" w:rsidP="00EF3D80">
            <w:pPr>
              <w:widowControl w:val="0"/>
              <w:jc w:val="center"/>
              <w:rPr>
                <w:rFonts w:cs="Arial"/>
                <w:color w:val="000000"/>
              </w:rPr>
            </w:pPr>
          </w:p>
        </w:tc>
        <w:tc>
          <w:tcPr>
            <w:tcW w:w="2495" w:type="dxa"/>
            <w:gridSpan w:val="4"/>
          </w:tcPr>
          <w:p w:rsidR="00416C48" w:rsidRPr="00D81378" w:rsidRDefault="00416C48" w:rsidP="00EF3D80">
            <w:pPr>
              <w:widowControl w:val="0"/>
              <w:tabs>
                <w:tab w:val="right" w:pos="1620"/>
                <w:tab w:val="left" w:pos="4230"/>
              </w:tabs>
              <w:rPr>
                <w:rFonts w:cs="Arial"/>
                <w:color w:val="000000"/>
                <w:vertAlign w:val="superscript"/>
              </w:rPr>
            </w:pPr>
            <w:r w:rsidRPr="00D81378">
              <w:rPr>
                <w:rFonts w:cs="Arial"/>
                <w:color w:val="000000"/>
              </w:rPr>
              <w:tab/>
              <w:t>2,50 m</w:t>
            </w:r>
            <w:r w:rsidRPr="00D81378">
              <w:rPr>
                <w:rFonts w:cs="Arial"/>
                <w:color w:val="000000"/>
                <w:vertAlign w:val="superscript"/>
              </w:rPr>
              <w:t>2</w:t>
            </w:r>
          </w:p>
        </w:tc>
      </w:tr>
      <w:tr w:rsidR="00416C48" w:rsidRPr="00D81378" w:rsidTr="005E589A">
        <w:trPr>
          <w:gridAfter w:val="1"/>
          <w:wAfter w:w="1928" w:type="dxa"/>
        </w:trPr>
        <w:tc>
          <w:tcPr>
            <w:tcW w:w="3515" w:type="dxa"/>
          </w:tcPr>
          <w:p w:rsidR="00416C48" w:rsidRPr="00D81378" w:rsidRDefault="00416C48" w:rsidP="00EF3D80">
            <w:pPr>
              <w:widowControl w:val="0"/>
              <w:tabs>
                <w:tab w:val="left" w:pos="4230"/>
              </w:tabs>
              <w:ind w:left="113"/>
              <w:rPr>
                <w:rFonts w:cs="Arial"/>
                <w:color w:val="000000"/>
              </w:rPr>
            </w:pPr>
            <w:r w:rsidRPr="00D81378">
              <w:rPr>
                <w:rFonts w:cs="Arial"/>
                <w:color w:val="000000"/>
              </w:rPr>
              <w:t>WC</w:t>
            </w:r>
          </w:p>
        </w:tc>
        <w:tc>
          <w:tcPr>
            <w:tcW w:w="28" w:type="dxa"/>
          </w:tcPr>
          <w:p w:rsidR="00416C48" w:rsidRPr="00D81378" w:rsidRDefault="00416C48" w:rsidP="00EF3D80">
            <w:pPr>
              <w:widowControl w:val="0"/>
              <w:tabs>
                <w:tab w:val="right" w:pos="1620"/>
                <w:tab w:val="left" w:pos="4230"/>
              </w:tabs>
              <w:rPr>
                <w:rFonts w:cs="Arial"/>
                <w:color w:val="000000"/>
              </w:rPr>
            </w:pPr>
          </w:p>
        </w:tc>
        <w:tc>
          <w:tcPr>
            <w:tcW w:w="20" w:type="dxa"/>
          </w:tcPr>
          <w:p w:rsidR="00416C48" w:rsidRPr="00D81378" w:rsidRDefault="00416C48" w:rsidP="00EF3D80">
            <w:pPr>
              <w:widowControl w:val="0"/>
              <w:jc w:val="center"/>
              <w:rPr>
                <w:rFonts w:cs="Arial"/>
                <w:color w:val="000000"/>
              </w:rPr>
            </w:pPr>
          </w:p>
        </w:tc>
        <w:tc>
          <w:tcPr>
            <w:tcW w:w="2495" w:type="dxa"/>
            <w:gridSpan w:val="4"/>
          </w:tcPr>
          <w:p w:rsidR="00416C48" w:rsidRPr="00D81378" w:rsidRDefault="00416C48" w:rsidP="00EF3D80">
            <w:pPr>
              <w:widowControl w:val="0"/>
              <w:tabs>
                <w:tab w:val="right" w:pos="1620"/>
                <w:tab w:val="left" w:pos="4230"/>
              </w:tabs>
              <w:rPr>
                <w:rFonts w:cs="Arial"/>
                <w:color w:val="000000"/>
              </w:rPr>
            </w:pPr>
            <w:r w:rsidRPr="00D81378">
              <w:rPr>
                <w:rFonts w:cs="Arial"/>
                <w:color w:val="000000"/>
              </w:rPr>
              <w:t xml:space="preserve">                    1,00 m</w:t>
            </w:r>
            <w:r w:rsidRPr="00D81378">
              <w:rPr>
                <w:rFonts w:cs="Arial"/>
                <w:color w:val="000000"/>
                <w:vertAlign w:val="superscript"/>
              </w:rPr>
              <w:t>2</w:t>
            </w:r>
          </w:p>
        </w:tc>
      </w:tr>
      <w:tr w:rsidR="00416C48" w:rsidRPr="00D81378" w:rsidTr="005E589A">
        <w:trPr>
          <w:gridAfter w:val="1"/>
          <w:wAfter w:w="1928" w:type="dxa"/>
        </w:trPr>
        <w:tc>
          <w:tcPr>
            <w:tcW w:w="3515" w:type="dxa"/>
          </w:tcPr>
          <w:p w:rsidR="00416C48" w:rsidRPr="00D81378" w:rsidRDefault="00416C48" w:rsidP="00EF3D80">
            <w:pPr>
              <w:widowControl w:val="0"/>
              <w:tabs>
                <w:tab w:val="left" w:pos="4230"/>
              </w:tabs>
              <w:ind w:left="113"/>
              <w:rPr>
                <w:rFonts w:cs="Arial"/>
                <w:color w:val="000000"/>
              </w:rPr>
            </w:pPr>
            <w:r w:rsidRPr="00D81378">
              <w:rPr>
                <w:rFonts w:cs="Arial"/>
                <w:color w:val="000000"/>
              </w:rPr>
              <w:t>lodžie</w:t>
            </w:r>
          </w:p>
        </w:tc>
        <w:tc>
          <w:tcPr>
            <w:tcW w:w="28" w:type="dxa"/>
          </w:tcPr>
          <w:p w:rsidR="00416C48" w:rsidRPr="00D81378" w:rsidRDefault="00416C48" w:rsidP="00EF3D80">
            <w:pPr>
              <w:widowControl w:val="0"/>
              <w:tabs>
                <w:tab w:val="right" w:pos="1620"/>
                <w:tab w:val="left" w:pos="4230"/>
              </w:tabs>
              <w:rPr>
                <w:rFonts w:cs="Arial"/>
                <w:color w:val="000000"/>
              </w:rPr>
            </w:pPr>
          </w:p>
        </w:tc>
        <w:tc>
          <w:tcPr>
            <w:tcW w:w="20" w:type="dxa"/>
          </w:tcPr>
          <w:p w:rsidR="00416C48" w:rsidRPr="00D81378" w:rsidRDefault="00416C48" w:rsidP="00EF3D80">
            <w:pPr>
              <w:widowControl w:val="0"/>
              <w:jc w:val="center"/>
              <w:rPr>
                <w:rFonts w:cs="Arial"/>
                <w:color w:val="000000"/>
              </w:rPr>
            </w:pPr>
          </w:p>
        </w:tc>
        <w:tc>
          <w:tcPr>
            <w:tcW w:w="2495" w:type="dxa"/>
            <w:gridSpan w:val="4"/>
          </w:tcPr>
          <w:p w:rsidR="00416C48" w:rsidRPr="00D81378" w:rsidRDefault="00416C48" w:rsidP="00EF3D80">
            <w:pPr>
              <w:widowControl w:val="0"/>
              <w:tabs>
                <w:tab w:val="right" w:pos="1620"/>
                <w:tab w:val="left" w:pos="4230"/>
              </w:tabs>
              <w:rPr>
                <w:rFonts w:cs="Arial"/>
                <w:color w:val="000000"/>
              </w:rPr>
            </w:pPr>
            <w:r w:rsidRPr="00D81378">
              <w:rPr>
                <w:rFonts w:cs="Arial"/>
                <w:color w:val="000000"/>
              </w:rPr>
              <w:t xml:space="preserve">                    2,05 m</w:t>
            </w:r>
            <w:r w:rsidRPr="00D81378">
              <w:rPr>
                <w:rFonts w:cs="Arial"/>
                <w:color w:val="000000"/>
                <w:vertAlign w:val="superscript"/>
              </w:rPr>
              <w:t>2</w:t>
            </w:r>
          </w:p>
        </w:tc>
      </w:tr>
      <w:tr w:rsidR="00416C48" w:rsidRPr="00D81378" w:rsidTr="005E589A">
        <w:trPr>
          <w:gridAfter w:val="1"/>
          <w:wAfter w:w="1928" w:type="dxa"/>
        </w:trPr>
        <w:tc>
          <w:tcPr>
            <w:tcW w:w="3515" w:type="dxa"/>
          </w:tcPr>
          <w:p w:rsidR="00416C48" w:rsidRPr="00D81378" w:rsidRDefault="00416C48" w:rsidP="00EF3D80">
            <w:pPr>
              <w:widowControl w:val="0"/>
              <w:tabs>
                <w:tab w:val="left" w:pos="4230"/>
              </w:tabs>
              <w:ind w:left="113"/>
              <w:rPr>
                <w:rFonts w:cs="Arial"/>
                <w:color w:val="000000"/>
              </w:rPr>
            </w:pPr>
            <w:r w:rsidRPr="00D81378">
              <w:rPr>
                <w:rFonts w:cs="Arial"/>
                <w:color w:val="000000"/>
              </w:rPr>
              <w:t>sklepní kóje</w:t>
            </w:r>
          </w:p>
        </w:tc>
        <w:tc>
          <w:tcPr>
            <w:tcW w:w="28" w:type="dxa"/>
          </w:tcPr>
          <w:p w:rsidR="00416C48" w:rsidRPr="00D81378" w:rsidRDefault="00416C48" w:rsidP="00EF3D80">
            <w:pPr>
              <w:widowControl w:val="0"/>
              <w:tabs>
                <w:tab w:val="right" w:pos="1620"/>
                <w:tab w:val="left" w:pos="4230"/>
              </w:tabs>
              <w:rPr>
                <w:rFonts w:cs="Arial"/>
                <w:color w:val="000000"/>
                <w:vertAlign w:val="superscript"/>
              </w:rPr>
            </w:pPr>
          </w:p>
        </w:tc>
        <w:tc>
          <w:tcPr>
            <w:tcW w:w="20" w:type="dxa"/>
          </w:tcPr>
          <w:p w:rsidR="00416C48" w:rsidRPr="00D81378" w:rsidRDefault="00416C48" w:rsidP="00EF3D80">
            <w:pPr>
              <w:widowControl w:val="0"/>
              <w:jc w:val="center"/>
              <w:rPr>
                <w:rFonts w:cs="Arial"/>
                <w:color w:val="000000"/>
              </w:rPr>
            </w:pPr>
          </w:p>
        </w:tc>
        <w:tc>
          <w:tcPr>
            <w:tcW w:w="2495" w:type="dxa"/>
            <w:gridSpan w:val="4"/>
          </w:tcPr>
          <w:p w:rsidR="00416C48" w:rsidRPr="00D81378" w:rsidRDefault="00416C48" w:rsidP="00EF3D80">
            <w:pPr>
              <w:widowControl w:val="0"/>
              <w:tabs>
                <w:tab w:val="right" w:pos="1620"/>
                <w:tab w:val="left" w:pos="4230"/>
              </w:tabs>
              <w:rPr>
                <w:rFonts w:cs="Arial"/>
                <w:color w:val="000000"/>
                <w:vertAlign w:val="superscript"/>
              </w:rPr>
            </w:pPr>
            <w:r w:rsidRPr="00D81378">
              <w:rPr>
                <w:rFonts w:cs="Arial"/>
                <w:color w:val="000000"/>
                <w:vertAlign w:val="superscript"/>
              </w:rPr>
              <w:t xml:space="preserve">                              </w:t>
            </w:r>
            <w:r w:rsidRPr="00D81378">
              <w:rPr>
                <w:rFonts w:cs="Arial"/>
                <w:color w:val="000000"/>
              </w:rPr>
              <w:t>0,85</w:t>
            </w:r>
            <w:r w:rsidRPr="00D81378">
              <w:rPr>
                <w:rFonts w:cs="Arial"/>
                <w:color w:val="000000"/>
                <w:vertAlign w:val="superscript"/>
              </w:rPr>
              <w:t xml:space="preserve"> </w:t>
            </w:r>
            <w:r w:rsidRPr="00D81378">
              <w:rPr>
                <w:rFonts w:cs="Arial"/>
                <w:color w:val="000000"/>
              </w:rPr>
              <w:t>m</w:t>
            </w:r>
            <w:r w:rsidRPr="00D81378">
              <w:rPr>
                <w:rFonts w:cs="Arial"/>
                <w:color w:val="000000"/>
                <w:vertAlign w:val="superscript"/>
              </w:rPr>
              <w:t>2</w:t>
            </w:r>
          </w:p>
        </w:tc>
      </w:tr>
      <w:tr w:rsidR="00416C48" w:rsidRPr="00D81378" w:rsidTr="005E589A">
        <w:trPr>
          <w:trHeight w:val="185"/>
        </w:trPr>
        <w:tc>
          <w:tcPr>
            <w:tcW w:w="3968" w:type="dxa"/>
            <w:gridSpan w:val="4"/>
          </w:tcPr>
          <w:p w:rsidR="00416C48" w:rsidRPr="00D81378" w:rsidRDefault="00416C48" w:rsidP="00EF3D80">
            <w:pPr>
              <w:widowControl w:val="0"/>
              <w:tabs>
                <w:tab w:val="left" w:pos="4230"/>
              </w:tabs>
              <w:ind w:left="113"/>
              <w:rPr>
                <w:rFonts w:cs="Arial"/>
                <w:b/>
                <w:bCs/>
                <w:color w:val="000000"/>
              </w:rPr>
            </w:pPr>
            <w:r w:rsidRPr="00D81378">
              <w:rPr>
                <w:rFonts w:cs="Arial"/>
                <w:b/>
                <w:bCs/>
                <w:color w:val="000000"/>
              </w:rPr>
              <w:t>Celkem</w:t>
            </w:r>
          </w:p>
        </w:tc>
        <w:tc>
          <w:tcPr>
            <w:tcW w:w="28" w:type="dxa"/>
          </w:tcPr>
          <w:p w:rsidR="00416C48" w:rsidRPr="00D81378" w:rsidRDefault="00416C48" w:rsidP="005E589A">
            <w:pPr>
              <w:widowControl w:val="0"/>
              <w:tabs>
                <w:tab w:val="right" w:pos="1620"/>
                <w:tab w:val="left" w:pos="4230"/>
              </w:tabs>
              <w:rPr>
                <w:rFonts w:cs="Arial"/>
                <w:b/>
                <w:bCs/>
                <w:color w:val="000000"/>
                <w:vertAlign w:val="superscript"/>
              </w:rPr>
            </w:pPr>
            <w:r w:rsidRPr="00D81378">
              <w:rPr>
                <w:rFonts w:cs="Arial"/>
                <w:b/>
                <w:bCs/>
                <w:color w:val="000000"/>
              </w:rPr>
              <w:t xml:space="preserve">         </w:t>
            </w:r>
          </w:p>
        </w:tc>
        <w:tc>
          <w:tcPr>
            <w:tcW w:w="20" w:type="dxa"/>
          </w:tcPr>
          <w:p w:rsidR="00416C48" w:rsidRPr="00D81378" w:rsidRDefault="00416C48" w:rsidP="00EF3D80">
            <w:pPr>
              <w:widowControl w:val="0"/>
              <w:rPr>
                <w:rFonts w:cs="Arial Narrow"/>
                <w:color w:val="000000"/>
              </w:rPr>
            </w:pPr>
          </w:p>
        </w:tc>
        <w:tc>
          <w:tcPr>
            <w:tcW w:w="3970" w:type="dxa"/>
            <w:gridSpan w:val="2"/>
          </w:tcPr>
          <w:p w:rsidR="00416C48" w:rsidRDefault="00416C48" w:rsidP="00EF3D80">
            <w:pPr>
              <w:widowControl w:val="0"/>
              <w:tabs>
                <w:tab w:val="decimal" w:pos="1080"/>
                <w:tab w:val="left" w:pos="4230"/>
              </w:tabs>
              <w:rPr>
                <w:rFonts w:cs="Arial"/>
                <w:b/>
                <w:bCs/>
                <w:color w:val="000000"/>
                <w:vertAlign w:val="superscript"/>
              </w:rPr>
            </w:pPr>
            <w:r w:rsidRPr="00D81378">
              <w:rPr>
                <w:rFonts w:cs="Arial"/>
                <w:b/>
                <w:bCs/>
                <w:color w:val="000000"/>
              </w:rPr>
              <w:t xml:space="preserve">         63,20</w:t>
            </w:r>
            <w:r w:rsidRPr="00D81378">
              <w:rPr>
                <w:rFonts w:cs="Arial"/>
                <w:color w:val="000000"/>
              </w:rPr>
              <w:t xml:space="preserve"> </w:t>
            </w:r>
            <w:r w:rsidRPr="00D81378">
              <w:rPr>
                <w:rFonts w:cs="Arial"/>
                <w:b/>
                <w:bCs/>
                <w:color w:val="000000"/>
              </w:rPr>
              <w:t>m</w:t>
            </w:r>
            <w:r w:rsidRPr="00D81378">
              <w:rPr>
                <w:rFonts w:cs="Arial"/>
                <w:b/>
                <w:bCs/>
                <w:color w:val="000000"/>
                <w:vertAlign w:val="superscript"/>
              </w:rPr>
              <w:t>2</w:t>
            </w:r>
          </w:p>
          <w:p w:rsidR="00416C48" w:rsidRPr="00D81378" w:rsidRDefault="00416C48" w:rsidP="00EF3D80">
            <w:pPr>
              <w:widowControl w:val="0"/>
              <w:tabs>
                <w:tab w:val="decimal" w:pos="1080"/>
                <w:tab w:val="left" w:pos="4230"/>
              </w:tabs>
              <w:rPr>
                <w:rFonts w:cs="Arial"/>
                <w:b/>
                <w:bCs/>
                <w:color w:val="000000"/>
                <w:vertAlign w:val="superscript"/>
              </w:rPr>
            </w:pPr>
          </w:p>
        </w:tc>
      </w:tr>
    </w:tbl>
    <w:p w:rsidR="00416C48" w:rsidRDefault="00416C48" w:rsidP="00416C48">
      <w:pPr>
        <w:pStyle w:val="Odstavecseseznamem"/>
        <w:ind w:left="426"/>
        <w:jc w:val="both"/>
        <w:rPr>
          <w:rFonts w:cs="Arial"/>
          <w:bCs/>
          <w:color w:val="000000"/>
        </w:rPr>
      </w:pPr>
      <w:r w:rsidRPr="00A71E96">
        <w:rPr>
          <w:rFonts w:cs="Arial"/>
          <w:bCs/>
          <w:color w:val="000000"/>
          <w:u w:val="single"/>
        </w:rPr>
        <w:t>Pozemky:</w:t>
      </w:r>
      <w:r w:rsidRPr="00D81378">
        <w:rPr>
          <w:rFonts w:cs="Arial"/>
          <w:bCs/>
          <w:color w:val="000000"/>
        </w:rPr>
        <w:t xml:space="preserve"> </w:t>
      </w:r>
    </w:p>
    <w:p w:rsidR="00416C48" w:rsidRPr="00D81378" w:rsidRDefault="00416C48" w:rsidP="00416C48">
      <w:pPr>
        <w:pStyle w:val="Odstavecseseznamem"/>
        <w:ind w:left="426"/>
        <w:jc w:val="both"/>
        <w:rPr>
          <w:rFonts w:cs="Arial"/>
          <w:color w:val="000000"/>
        </w:rPr>
      </w:pPr>
      <w:r>
        <w:rPr>
          <w:rFonts w:cs="Arial"/>
          <w:color w:val="000000"/>
        </w:rPr>
        <w:t>V</w:t>
      </w:r>
      <w:r w:rsidRPr="00D81378">
        <w:rPr>
          <w:rFonts w:cs="Arial"/>
          <w:color w:val="000000"/>
        </w:rPr>
        <w:t>elmi mírně svažitý, orientace převážně na jihovýchod, pouze zastavěná plocha bytovým domem, ve tvaru obdélníkovém, napojení na kompletní inženýrské sítě</w:t>
      </w:r>
      <w:r>
        <w:rPr>
          <w:rFonts w:cs="Arial"/>
          <w:color w:val="000000"/>
        </w:rPr>
        <w:t>.</w:t>
      </w:r>
    </w:p>
    <w:p w:rsidR="00416C48" w:rsidRDefault="00416C48" w:rsidP="00416C48">
      <w:pPr>
        <w:ind w:firstLine="426"/>
        <w:jc w:val="both"/>
        <w:rPr>
          <w:u w:val="single"/>
        </w:rPr>
      </w:pPr>
    </w:p>
    <w:p w:rsidR="00416C48" w:rsidRPr="0040122C" w:rsidRDefault="00416C48" w:rsidP="00416C48">
      <w:pPr>
        <w:ind w:firstLine="426"/>
        <w:jc w:val="both"/>
        <w:rPr>
          <w:u w:val="single"/>
        </w:rPr>
      </w:pPr>
      <w:r w:rsidRPr="0040122C">
        <w:rPr>
          <w:u w:val="single"/>
        </w:rPr>
        <w:t>Dražebník upozorňuje, že údaje o předmětu dražby jsou uvedeny pouze z dostupných informací.</w:t>
      </w:r>
    </w:p>
    <w:p w:rsidR="00713D1B" w:rsidRDefault="00713D1B" w:rsidP="00A8347D">
      <w:pPr>
        <w:pStyle w:val="lnek-Monika"/>
      </w:pPr>
      <w:r>
        <w:t>prohlídka předmětu dražby</w:t>
      </w:r>
    </w:p>
    <w:p w:rsidR="00713D1B" w:rsidRDefault="00713D1B" w:rsidP="00AE371F">
      <w:pPr>
        <w:pStyle w:val="Odstavecseseznamem"/>
        <w:numPr>
          <w:ilvl w:val="1"/>
          <w:numId w:val="1"/>
        </w:numPr>
        <w:spacing w:before="240" w:line="360" w:lineRule="auto"/>
        <w:ind w:left="426" w:hanging="426"/>
      </w:pPr>
      <w:r>
        <w:t>Prohlídka předmětu dražby byla stanovena na tyto termíny:</w:t>
      </w:r>
    </w:p>
    <w:p w:rsidR="00713D1B" w:rsidRDefault="002C3B56" w:rsidP="00AE371F">
      <w:pPr>
        <w:pStyle w:val="Odstavecseseznamem"/>
        <w:numPr>
          <w:ilvl w:val="0"/>
          <w:numId w:val="12"/>
        </w:numPr>
        <w:tabs>
          <w:tab w:val="left" w:pos="1134"/>
          <w:tab w:val="left" w:pos="5387"/>
        </w:tabs>
        <w:spacing w:before="240" w:line="360" w:lineRule="auto"/>
        <w:ind w:left="1503" w:hanging="227"/>
        <w:rPr>
          <w:b/>
        </w:rPr>
      </w:pPr>
      <w:r>
        <w:rPr>
          <w:b/>
        </w:rPr>
        <w:t>27</w:t>
      </w:r>
      <w:r w:rsidR="007B2F84">
        <w:rPr>
          <w:b/>
        </w:rPr>
        <w:t xml:space="preserve">. </w:t>
      </w:r>
      <w:r w:rsidR="0073530E">
        <w:rPr>
          <w:b/>
        </w:rPr>
        <w:t>1</w:t>
      </w:r>
      <w:r>
        <w:rPr>
          <w:b/>
        </w:rPr>
        <w:t>1</w:t>
      </w:r>
      <w:r w:rsidR="007B2F84">
        <w:rPr>
          <w:b/>
        </w:rPr>
        <w:t>.</w:t>
      </w:r>
      <w:r w:rsidR="00D92E82">
        <w:rPr>
          <w:b/>
        </w:rPr>
        <w:t xml:space="preserve"> </w:t>
      </w:r>
      <w:r w:rsidR="00713D1B" w:rsidRPr="005C53F1">
        <w:rPr>
          <w:b/>
        </w:rPr>
        <w:t>201</w:t>
      </w:r>
      <w:r w:rsidR="00DB5778">
        <w:rPr>
          <w:b/>
        </w:rPr>
        <w:t>4</w:t>
      </w:r>
      <w:r w:rsidR="00713D1B" w:rsidRPr="005C53F1">
        <w:rPr>
          <w:b/>
        </w:rPr>
        <w:t xml:space="preserve"> v</w:t>
      </w:r>
      <w:r w:rsidR="00243BCA">
        <w:rPr>
          <w:b/>
        </w:rPr>
        <w:t> </w:t>
      </w:r>
      <w:r w:rsidR="00713D1B" w:rsidRPr="005C53F1">
        <w:rPr>
          <w:b/>
        </w:rPr>
        <w:t>1</w:t>
      </w:r>
      <w:r w:rsidR="003B7673">
        <w:rPr>
          <w:b/>
        </w:rPr>
        <w:t>3</w:t>
      </w:r>
      <w:r w:rsidR="00243BCA">
        <w:rPr>
          <w:b/>
        </w:rPr>
        <w:t>.</w:t>
      </w:r>
      <w:r w:rsidR="00713D1B" w:rsidRPr="005C53F1">
        <w:rPr>
          <w:b/>
        </w:rPr>
        <w:t>00 hod</w:t>
      </w:r>
      <w:r w:rsidR="00713D1B" w:rsidRPr="005C53F1">
        <w:rPr>
          <w:b/>
        </w:rPr>
        <w:tab/>
        <w:t xml:space="preserve">2) </w:t>
      </w:r>
      <w:r>
        <w:rPr>
          <w:b/>
        </w:rPr>
        <w:t>04</w:t>
      </w:r>
      <w:r w:rsidR="007B2F84">
        <w:rPr>
          <w:b/>
        </w:rPr>
        <w:t>.</w:t>
      </w:r>
      <w:r w:rsidR="00D92E82">
        <w:rPr>
          <w:b/>
        </w:rPr>
        <w:t xml:space="preserve"> </w:t>
      </w:r>
      <w:r w:rsidR="0073530E">
        <w:rPr>
          <w:b/>
        </w:rPr>
        <w:t>1</w:t>
      </w:r>
      <w:r>
        <w:rPr>
          <w:b/>
        </w:rPr>
        <w:t>2</w:t>
      </w:r>
      <w:r w:rsidR="00713D1B" w:rsidRPr="005C53F1">
        <w:rPr>
          <w:b/>
        </w:rPr>
        <w:t>.</w:t>
      </w:r>
      <w:r w:rsidR="00D92E82">
        <w:rPr>
          <w:b/>
        </w:rPr>
        <w:t xml:space="preserve"> </w:t>
      </w:r>
      <w:r w:rsidR="00713D1B" w:rsidRPr="005C53F1">
        <w:rPr>
          <w:b/>
        </w:rPr>
        <w:t>201</w:t>
      </w:r>
      <w:r w:rsidR="00DB5778">
        <w:rPr>
          <w:b/>
        </w:rPr>
        <w:t>4</w:t>
      </w:r>
      <w:r w:rsidR="00713D1B" w:rsidRPr="005C53F1">
        <w:rPr>
          <w:b/>
        </w:rPr>
        <w:t xml:space="preserve"> v</w:t>
      </w:r>
      <w:r w:rsidR="00243BCA">
        <w:rPr>
          <w:b/>
        </w:rPr>
        <w:t> </w:t>
      </w:r>
      <w:r w:rsidR="00713D1B" w:rsidRPr="005C53F1">
        <w:rPr>
          <w:b/>
        </w:rPr>
        <w:t>1</w:t>
      </w:r>
      <w:r w:rsidR="003B7673">
        <w:rPr>
          <w:b/>
        </w:rPr>
        <w:t>3</w:t>
      </w:r>
      <w:r w:rsidR="00243BCA">
        <w:rPr>
          <w:b/>
        </w:rPr>
        <w:t>.</w:t>
      </w:r>
      <w:r w:rsidR="00713D1B" w:rsidRPr="005C53F1">
        <w:rPr>
          <w:b/>
        </w:rPr>
        <w:t>00 hod</w:t>
      </w:r>
    </w:p>
    <w:p w:rsidR="008B4986" w:rsidRDefault="001933AB" w:rsidP="008B4986">
      <w:pPr>
        <w:pStyle w:val="Odstavecseseznamem"/>
        <w:numPr>
          <w:ilvl w:val="1"/>
          <w:numId w:val="1"/>
        </w:numPr>
        <w:tabs>
          <w:tab w:val="left" w:pos="1134"/>
          <w:tab w:val="left" w:pos="5387"/>
        </w:tabs>
        <w:ind w:left="426" w:hanging="426"/>
        <w:jc w:val="both"/>
      </w:pPr>
      <w:r>
        <w:t>Sraz zájemců je před objektem dražby. Čas prohlídky bude v přítomnosti více zájemců úměrně prodloužen, po vzájemné dohodě lze zajistit prohlídku i v jiném termínu. Pokud vlastník nebo osoba, která má předmět dražby v držení nebo nájmu, neumožní řádnou prohlídku předmětu dražby, bude prohlídka provedena v rámci možností.</w:t>
      </w:r>
    </w:p>
    <w:p w:rsidR="00680BF1" w:rsidRDefault="00680BF1" w:rsidP="008B4986">
      <w:pPr>
        <w:pStyle w:val="Odstavecseseznamem"/>
        <w:tabs>
          <w:tab w:val="left" w:pos="1134"/>
          <w:tab w:val="left" w:pos="5387"/>
        </w:tabs>
        <w:ind w:left="426"/>
        <w:jc w:val="both"/>
      </w:pPr>
    </w:p>
    <w:p w:rsidR="006E1AD6" w:rsidRDefault="001933AB" w:rsidP="008B4986">
      <w:pPr>
        <w:pStyle w:val="Odstavecseseznamem"/>
        <w:numPr>
          <w:ilvl w:val="1"/>
          <w:numId w:val="1"/>
        </w:numPr>
        <w:tabs>
          <w:tab w:val="left" w:pos="1134"/>
          <w:tab w:val="left" w:pos="5387"/>
        </w:tabs>
        <w:ind w:left="426" w:hanging="426"/>
        <w:jc w:val="both"/>
      </w:pPr>
      <w:r>
        <w:t xml:space="preserve">Informace na </w:t>
      </w:r>
      <w:r w:rsidR="00035D22">
        <w:t>tel. č.</w:t>
      </w:r>
      <w:r>
        <w:t xml:space="preserve"> 602 462 210, e-mail: fist.praha</w:t>
      </w:r>
      <w:r w:rsidR="005C53F1">
        <w:t>@</w:t>
      </w:r>
      <w:r>
        <w:t>volny.cz, www. fistpraha.cz</w:t>
      </w:r>
    </w:p>
    <w:p w:rsidR="001933AB" w:rsidRDefault="001933AB" w:rsidP="00A8347D">
      <w:pPr>
        <w:pStyle w:val="lnek-Monika"/>
      </w:pPr>
      <w:r>
        <w:t>nejnižší podání, dražební jistota, minimální příhoz</w:t>
      </w:r>
    </w:p>
    <w:p w:rsidR="001933AB" w:rsidRPr="00376D0A" w:rsidRDefault="00AD25DB" w:rsidP="00376D0A">
      <w:pPr>
        <w:tabs>
          <w:tab w:val="left" w:pos="1418"/>
          <w:tab w:val="right" w:leader="dot" w:pos="8222"/>
        </w:tabs>
        <w:ind w:left="1418" w:hanging="1418"/>
        <w:rPr>
          <w:b/>
        </w:rPr>
      </w:pPr>
      <w:r w:rsidRPr="00376D0A">
        <w:rPr>
          <w:b/>
        </w:rPr>
        <w:t>5.1.</w:t>
      </w:r>
      <w:r>
        <w:tab/>
      </w:r>
      <w:r w:rsidR="001933AB" w:rsidRPr="00376D0A">
        <w:rPr>
          <w:b/>
        </w:rPr>
        <w:t>Nejnižší podání činí</w:t>
      </w:r>
      <w:r w:rsidR="001933AB" w:rsidRPr="00376D0A">
        <w:rPr>
          <w:b/>
        </w:rPr>
        <w:tab/>
      </w:r>
      <w:r w:rsidR="0073530E">
        <w:rPr>
          <w:b/>
        </w:rPr>
        <w:t>2</w:t>
      </w:r>
      <w:r w:rsidR="002C3B56">
        <w:rPr>
          <w:b/>
        </w:rPr>
        <w:t>3</w:t>
      </w:r>
      <w:r w:rsidR="0073530E">
        <w:rPr>
          <w:b/>
        </w:rPr>
        <w:t>0</w:t>
      </w:r>
      <w:r w:rsidR="00AE371F">
        <w:rPr>
          <w:b/>
        </w:rPr>
        <w:t>.000</w:t>
      </w:r>
      <w:r w:rsidR="001933AB" w:rsidRPr="00376D0A">
        <w:rPr>
          <w:b/>
        </w:rPr>
        <w:t>,</w:t>
      </w:r>
      <w:r w:rsidR="00611DF3" w:rsidRPr="00611DF3">
        <w:rPr>
          <w:b/>
        </w:rPr>
        <w:t xml:space="preserve"> </w:t>
      </w:r>
      <w:r w:rsidR="00611DF3">
        <w:rPr>
          <w:b/>
        </w:rPr>
        <w:t>–</w:t>
      </w:r>
      <w:r w:rsidR="001933AB" w:rsidRPr="00376D0A">
        <w:rPr>
          <w:b/>
        </w:rPr>
        <w:t xml:space="preserve"> Kč</w:t>
      </w:r>
    </w:p>
    <w:p w:rsidR="001933AB" w:rsidRPr="00376D0A" w:rsidRDefault="001933AB" w:rsidP="00376D0A">
      <w:pPr>
        <w:tabs>
          <w:tab w:val="left" w:pos="1418"/>
          <w:tab w:val="right" w:leader="dot" w:pos="8222"/>
        </w:tabs>
        <w:ind w:left="1418" w:hanging="1418"/>
        <w:rPr>
          <w:b/>
        </w:rPr>
      </w:pPr>
      <w:r w:rsidRPr="00376D0A">
        <w:rPr>
          <w:b/>
        </w:rPr>
        <w:t xml:space="preserve">5.2. </w:t>
      </w:r>
      <w:r w:rsidR="00AD25DB" w:rsidRPr="00376D0A">
        <w:rPr>
          <w:b/>
        </w:rPr>
        <w:tab/>
      </w:r>
      <w:r w:rsidRPr="00376D0A">
        <w:rPr>
          <w:b/>
        </w:rPr>
        <w:t>Dražební jistota byla stanovena na částku</w:t>
      </w:r>
      <w:r w:rsidRPr="00376D0A">
        <w:rPr>
          <w:b/>
        </w:rPr>
        <w:tab/>
      </w:r>
      <w:r w:rsidR="002C3B56">
        <w:rPr>
          <w:b/>
        </w:rPr>
        <w:t>6</w:t>
      </w:r>
      <w:bookmarkStart w:id="0" w:name="_GoBack"/>
      <w:bookmarkEnd w:id="0"/>
      <w:r w:rsidR="0073530E">
        <w:rPr>
          <w:b/>
        </w:rPr>
        <w:t>0</w:t>
      </w:r>
      <w:r w:rsidR="00611DF3">
        <w:rPr>
          <w:b/>
        </w:rPr>
        <w:t>.</w:t>
      </w:r>
      <w:r w:rsidR="00611DF3" w:rsidRPr="00376D0A">
        <w:rPr>
          <w:b/>
        </w:rPr>
        <w:t>000,</w:t>
      </w:r>
      <w:r w:rsidR="00611DF3">
        <w:rPr>
          <w:b/>
        </w:rPr>
        <w:t xml:space="preserve"> – Kč</w:t>
      </w:r>
    </w:p>
    <w:p w:rsidR="001933AB" w:rsidRPr="00376D0A" w:rsidRDefault="00AD25DB" w:rsidP="00376D0A">
      <w:pPr>
        <w:tabs>
          <w:tab w:val="left" w:pos="1418"/>
          <w:tab w:val="right" w:leader="dot" w:pos="8222"/>
        </w:tabs>
        <w:ind w:left="1418" w:hanging="1418"/>
        <w:rPr>
          <w:b/>
        </w:rPr>
      </w:pPr>
      <w:r w:rsidRPr="00376D0A">
        <w:rPr>
          <w:b/>
        </w:rPr>
        <w:t>5.3.</w:t>
      </w:r>
      <w:r w:rsidRPr="00376D0A">
        <w:rPr>
          <w:b/>
        </w:rPr>
        <w:tab/>
      </w:r>
      <w:r w:rsidR="001933AB" w:rsidRPr="00376D0A">
        <w:rPr>
          <w:b/>
        </w:rPr>
        <w:t>Minimální příhoz byl stanoven na částku</w:t>
      </w:r>
      <w:r w:rsidR="001933AB" w:rsidRPr="00376D0A">
        <w:rPr>
          <w:b/>
        </w:rPr>
        <w:tab/>
        <w:t>10</w:t>
      </w:r>
      <w:r w:rsidR="00E83E84">
        <w:rPr>
          <w:b/>
        </w:rPr>
        <w:t>.</w:t>
      </w:r>
      <w:r w:rsidR="001933AB" w:rsidRPr="00376D0A">
        <w:rPr>
          <w:b/>
        </w:rPr>
        <w:t>000</w:t>
      </w:r>
      <w:r w:rsidR="00611DF3">
        <w:rPr>
          <w:b/>
        </w:rPr>
        <w:t>, –</w:t>
      </w:r>
      <w:r w:rsidR="00243BCA">
        <w:rPr>
          <w:b/>
        </w:rPr>
        <w:t xml:space="preserve"> </w:t>
      </w:r>
      <w:r w:rsidR="001933AB" w:rsidRPr="00376D0A">
        <w:rPr>
          <w:b/>
        </w:rPr>
        <w:t>Kč</w:t>
      </w:r>
    </w:p>
    <w:p w:rsidR="00AD25DB" w:rsidRDefault="00AD25DB" w:rsidP="00376D0A">
      <w:pPr>
        <w:tabs>
          <w:tab w:val="left" w:pos="709"/>
          <w:tab w:val="right" w:pos="7371"/>
        </w:tabs>
        <w:ind w:left="1418" w:hanging="1418"/>
      </w:pPr>
    </w:p>
    <w:p w:rsidR="00AD25DB" w:rsidRDefault="00AD25DB" w:rsidP="00376D0A">
      <w:pPr>
        <w:tabs>
          <w:tab w:val="right" w:pos="7371"/>
        </w:tabs>
        <w:ind w:left="1134" w:hanging="1134"/>
        <w:jc w:val="both"/>
      </w:pPr>
      <w:r w:rsidRPr="00376D0A">
        <w:rPr>
          <w:b/>
        </w:rPr>
        <w:lastRenderedPageBreak/>
        <w:t>5.4.</w:t>
      </w:r>
      <w:r>
        <w:tab/>
        <w:t>Stanovená dražební jistota musí být uhrazena nejpozději do zahájení dražby jedním z následujících způsobů:</w:t>
      </w:r>
    </w:p>
    <w:p w:rsidR="00AD25DB" w:rsidRDefault="00AD25DB" w:rsidP="00376D0A">
      <w:pPr>
        <w:tabs>
          <w:tab w:val="right" w:pos="7371"/>
        </w:tabs>
        <w:ind w:left="1134" w:hanging="567"/>
        <w:jc w:val="both"/>
      </w:pPr>
      <w:r>
        <w:t>a)</w:t>
      </w:r>
      <w:r>
        <w:tab/>
      </w:r>
      <w:r w:rsidR="00A8629E">
        <w:t>P</w:t>
      </w:r>
      <w:r>
        <w:t xml:space="preserve">řevodem na bankovní účet dražebníka vedený u GE Money Bank, a.s., </w:t>
      </w:r>
      <w:r w:rsidR="00035D22">
        <w:t>č. ú. 178026355/0600</w:t>
      </w:r>
      <w:r w:rsidR="00A8629E">
        <w:t>;</w:t>
      </w:r>
    </w:p>
    <w:p w:rsidR="00AD25DB" w:rsidRDefault="00AD25DB" w:rsidP="00376D0A">
      <w:pPr>
        <w:tabs>
          <w:tab w:val="right" w:pos="7371"/>
        </w:tabs>
        <w:ind w:left="1134" w:hanging="567"/>
        <w:jc w:val="both"/>
      </w:pPr>
      <w:r>
        <w:t>b)</w:t>
      </w:r>
      <w:r>
        <w:tab/>
        <w:t>vkladem hotovosti na bankovní účet dražebníka vedený u GE Money Bank, a.</w:t>
      </w:r>
      <w:r w:rsidR="00035D22">
        <w:t>s., č. ú. 178026355/0600</w:t>
      </w:r>
      <w:r w:rsidR="00A8629E">
        <w:t>;</w:t>
      </w:r>
    </w:p>
    <w:p w:rsidR="00AD25DB" w:rsidRDefault="00AD25DB" w:rsidP="00376D0A">
      <w:pPr>
        <w:tabs>
          <w:tab w:val="right" w:pos="7371"/>
        </w:tabs>
        <w:ind w:left="1134" w:hanging="567"/>
        <w:jc w:val="both"/>
      </w:pPr>
      <w:r>
        <w:t>c)</w:t>
      </w:r>
      <w:r>
        <w:tab/>
        <w:t>v hotovosti k rukám dražebníka v kanceláři dražebníka FIST Praha s.r.o., na adrese Libušina</w:t>
      </w:r>
      <w:r w:rsidR="005C53F1">
        <w:t> </w:t>
      </w:r>
      <w:r>
        <w:t xml:space="preserve">527/36, </w:t>
      </w:r>
      <w:r w:rsidR="005C53F1">
        <w:t>K</w:t>
      </w:r>
      <w:r>
        <w:t xml:space="preserve">arlovy </w:t>
      </w:r>
      <w:r w:rsidR="005C53F1">
        <w:t>V</w:t>
      </w:r>
      <w:r>
        <w:t xml:space="preserve">ary, dle předchozí telefonické domluvy na </w:t>
      </w:r>
      <w:r w:rsidR="00035D22">
        <w:t>tel. č.</w:t>
      </w:r>
      <w:r>
        <w:t xml:space="preserve"> 602 462</w:t>
      </w:r>
      <w:r w:rsidR="00A8629E">
        <w:t> </w:t>
      </w:r>
      <w:r>
        <w:t>210</w:t>
      </w:r>
      <w:r w:rsidR="00A8629E">
        <w:t>;</w:t>
      </w:r>
    </w:p>
    <w:p w:rsidR="00AD25DB" w:rsidRDefault="00AD25DB" w:rsidP="00376D0A">
      <w:pPr>
        <w:tabs>
          <w:tab w:val="right" w:pos="7371"/>
        </w:tabs>
        <w:ind w:left="1134" w:hanging="567"/>
        <w:jc w:val="both"/>
      </w:pPr>
      <w:r>
        <w:t>d)</w:t>
      </w:r>
      <w:r>
        <w:tab/>
        <w:t>v hotovosti k rukám dražebníka v místě konání dražby nejpozději však do zahájení dražby</w:t>
      </w:r>
      <w:r w:rsidR="00A8629E">
        <w:t>;</w:t>
      </w:r>
    </w:p>
    <w:p w:rsidR="00CF1796" w:rsidRDefault="00AD25DB" w:rsidP="00376D0A">
      <w:pPr>
        <w:tabs>
          <w:tab w:val="right" w:pos="7371"/>
        </w:tabs>
        <w:ind w:left="1134" w:hanging="567"/>
        <w:jc w:val="both"/>
      </w:pPr>
      <w:r>
        <w:t>e)</w:t>
      </w:r>
      <w:r>
        <w:tab/>
        <w:t>formou bankovní záruky – na základě písemného prohlášení banky v záruční listině, že tato banka uspokojí dražebníka (věřitele), a to do výše dražební jistoty, jež je uvedena výše, jestliže dražebník o plnění vyplývající z bankovní záruky písemně požádá banku, a</w:t>
      </w:r>
      <w:r w:rsidR="00243BCA">
        <w:t> </w:t>
      </w:r>
      <w:r>
        <w:t>to z důvodu, že dlužník (osoba, na jejíž žádost se zavázala banka záruční listinou) jako vydražitel zmařil dražbu. Dražebník (věřitel) musí být v záruční listině označen následovně FIST Praha s.r.o., IČ 639 83 079. Bankovní záruka musí být platná 160 dní ode dne konání dražby. Záruční listina nesmí obsahovat žádn</w:t>
      </w:r>
      <w:r w:rsidR="005C53F1">
        <w:t>á</w:t>
      </w:r>
      <w:r>
        <w:t xml:space="preserve"> ustanovení, která by podmiňovala vyplacení peněžité částky, v záruční listině uvedené, s výjimkou písemného požádání o p</w:t>
      </w:r>
      <w:r w:rsidR="005C53F1">
        <w:t>l</w:t>
      </w:r>
      <w:r>
        <w:t>nění, vyplývajícího z bankovní záruky a učiněného ze s</w:t>
      </w:r>
      <w:r w:rsidR="005C53F1">
        <w:t>t</w:t>
      </w:r>
      <w:r>
        <w:t>rany dražebníka.</w:t>
      </w:r>
    </w:p>
    <w:p w:rsidR="00AD25DB" w:rsidRDefault="00CF1796" w:rsidP="00376D0A">
      <w:pPr>
        <w:tabs>
          <w:tab w:val="right" w:pos="7371"/>
        </w:tabs>
        <w:ind w:left="1134" w:hanging="567"/>
        <w:jc w:val="both"/>
      </w:pPr>
      <w:r>
        <w:tab/>
      </w:r>
      <w:r w:rsidR="00AD25DB">
        <w:t xml:space="preserve"> Záruční listina nesmí obsahovat ani žádná jiná ustanovení</w:t>
      </w:r>
      <w:r w:rsidR="00083D91">
        <w:t>, která by jakkoli omezovala dražebníka při uplatňování jeho práv vyplývajících mu ze záruční listiny či mu ukládala pro dosažení plnění, vyplývajícího mu ze záruční listiny, jinou povinnost (jako např. povinnost učinit předchozí výzvu dlužníkovi nebo doložení dalších písemností, než povinnost písemně požádat o tot</w:t>
      </w:r>
      <w:r w:rsidR="008B4986">
        <w:t>o</w:t>
      </w:r>
      <w:r w:rsidR="00083D91">
        <w:t xml:space="preserve"> plnění v době platnosti uvedené v záruční listině. Bankovní záruka musí být vystavena bankou se sídlem na území ČR nebo zahraniční bankou oprávněnou působit v souladu se zákonem č. 21/1992 Sb. o bankách, ve znění pozdějších předpisů, na území České republiky a musí být vystavena v českém jazyce.</w:t>
      </w:r>
    </w:p>
    <w:p w:rsidR="00083D91" w:rsidRDefault="00083D91" w:rsidP="00376D0A">
      <w:pPr>
        <w:tabs>
          <w:tab w:val="right" w:pos="7371"/>
        </w:tabs>
        <w:ind w:left="1134" w:hanging="1134"/>
      </w:pPr>
    </w:p>
    <w:p w:rsidR="00A8629E" w:rsidRDefault="00083D91" w:rsidP="00757BF6">
      <w:pPr>
        <w:tabs>
          <w:tab w:val="right" w:pos="7371"/>
        </w:tabs>
        <w:ind w:left="426" w:hanging="426"/>
        <w:jc w:val="both"/>
      </w:pPr>
      <w:r>
        <w:tab/>
        <w:t>Skládané dražební jistoty jsou určeny variabilním symbolem; pro právnické osoby IČ, pro fyzické osoby rodné číslo.</w:t>
      </w:r>
    </w:p>
    <w:p w:rsidR="007B2F84" w:rsidRDefault="007B2F84" w:rsidP="00757BF6">
      <w:pPr>
        <w:tabs>
          <w:tab w:val="right" w:pos="7371"/>
        </w:tabs>
        <w:ind w:left="426" w:hanging="426"/>
        <w:jc w:val="both"/>
      </w:pPr>
    </w:p>
    <w:p w:rsidR="00083D91" w:rsidRDefault="00083D91" w:rsidP="00757BF6">
      <w:pPr>
        <w:tabs>
          <w:tab w:val="right" w:pos="7371"/>
        </w:tabs>
        <w:ind w:left="426" w:hanging="426"/>
        <w:jc w:val="both"/>
      </w:pPr>
      <w:r>
        <w:tab/>
        <w:t xml:space="preserve">Lhůta pro složení dražební jistoty začíná </w:t>
      </w:r>
      <w:r w:rsidR="00B305DD">
        <w:t xml:space="preserve">dnem zveřejnění této dražební vyhlášky na Centrální adrese </w:t>
      </w:r>
      <w:r>
        <w:t xml:space="preserve">a končí zahájením dražby pro platbu v hotovosti, pro platbu na účet dražebníka, převodem z účtu </w:t>
      </w:r>
      <w:r w:rsidR="008B4986">
        <w:t>(</w:t>
      </w:r>
      <w:r>
        <w:t>to vše za podmínky</w:t>
      </w:r>
      <w:r w:rsidR="00757BF6">
        <w:t xml:space="preserve"> </w:t>
      </w:r>
      <w:r>
        <w:t xml:space="preserve">připsání dražební jistoty na účet dražebníka do zahájení dražby). </w:t>
      </w:r>
      <w:r w:rsidR="008B4986">
        <w:t>D</w:t>
      </w:r>
      <w:r>
        <w:t>ražební jistotu nelze složit platební kartou ani šekem.</w:t>
      </w:r>
    </w:p>
    <w:p w:rsidR="00083D91" w:rsidRDefault="00083D91" w:rsidP="00A8347D">
      <w:pPr>
        <w:pStyle w:val="lnek-Monika"/>
      </w:pPr>
      <w:r>
        <w:t>účastníci dražby</w:t>
      </w:r>
    </w:p>
    <w:p w:rsidR="00035D22" w:rsidRDefault="00083D91" w:rsidP="00757BF6">
      <w:pPr>
        <w:pStyle w:val="Odstavecseseznamem"/>
        <w:numPr>
          <w:ilvl w:val="1"/>
          <w:numId w:val="1"/>
        </w:numPr>
        <w:ind w:left="426" w:hanging="426"/>
        <w:jc w:val="both"/>
      </w:pPr>
      <w:r>
        <w:t>Účastníkem dražby je osoba přítomná při dražbě, která se dostavila za účelem činit podání a</w:t>
      </w:r>
      <w:r w:rsidR="00243BCA">
        <w:t> </w:t>
      </w:r>
      <w:r>
        <w:t>splňuje podmínky stanovené zákonem o veřejných dražbách (viz. § 3 zákona č. 26/2000 Sb.</w:t>
      </w:r>
      <w:r w:rsidR="00035D22">
        <w:t>,</w:t>
      </w:r>
      <w:r>
        <w:t xml:space="preserve"> </w:t>
      </w:r>
      <w:r w:rsidR="00243BCA">
        <w:t>o </w:t>
      </w:r>
      <w:r w:rsidR="00035D22">
        <w:t>veřejných dražbách</w:t>
      </w:r>
      <w:r>
        <w:t>).</w:t>
      </w:r>
    </w:p>
    <w:p w:rsidR="00F93B8B" w:rsidRDefault="00F93B8B" w:rsidP="00F93B8B">
      <w:pPr>
        <w:pStyle w:val="Odstavecseseznamem"/>
        <w:ind w:left="426"/>
        <w:jc w:val="both"/>
      </w:pPr>
    </w:p>
    <w:p w:rsidR="00AE371F" w:rsidRDefault="00083D91" w:rsidP="00757BF6">
      <w:pPr>
        <w:pStyle w:val="Odstavecseseznamem"/>
        <w:numPr>
          <w:ilvl w:val="1"/>
          <w:numId w:val="1"/>
        </w:numPr>
        <w:ind w:left="426" w:hanging="426"/>
        <w:jc w:val="both"/>
      </w:pPr>
      <w:r>
        <w:t>Účastník dražby doloží při zápisu do dražby doklad o zaplacení dražební jistoty (výpis z účtu o</w:t>
      </w:r>
      <w:r w:rsidR="00243BCA">
        <w:t> </w:t>
      </w:r>
      <w:r>
        <w:t xml:space="preserve">odepsání částky z účtu, záruční listiny osvědčující bankovní záruku apod.). Dále účastník dražby doloží své čestné prohlášení, že není osobou vyloučenou z dražby. Fyzické osoby předloží průkaz </w:t>
      </w:r>
    </w:p>
    <w:p w:rsidR="00757BF6" w:rsidRDefault="00083D91" w:rsidP="00AE371F">
      <w:pPr>
        <w:pStyle w:val="Odstavecseseznamem"/>
        <w:ind w:left="426"/>
        <w:jc w:val="both"/>
      </w:pPr>
      <w:r>
        <w:t>totožnosti, právnické osoby předloží aktuální výpis z obchodního rejstřík</w:t>
      </w:r>
      <w:r w:rsidR="00D92E82">
        <w:t>u ne starší tří</w:t>
      </w:r>
      <w:r>
        <w:t xml:space="preserve"> měsíců, průkaz totožnosti osoby jednající za </w:t>
      </w:r>
      <w:r w:rsidR="00450C73">
        <w:t>právnickou</w:t>
      </w:r>
      <w:r>
        <w:t xml:space="preserve"> osobu. Po zápisu </w:t>
      </w:r>
      <w:r w:rsidR="00450C73">
        <w:t xml:space="preserve">do </w:t>
      </w:r>
      <w:r w:rsidR="000B4BA5">
        <w:t>„</w:t>
      </w:r>
      <w:r w:rsidR="00450C73">
        <w:t>Seznamu účastníků dražby</w:t>
      </w:r>
      <w:r w:rsidR="000B4BA5">
        <w:t>“</w:t>
      </w:r>
      <w:r w:rsidR="00450C73">
        <w:t xml:space="preserve"> bud</w:t>
      </w:r>
      <w:r w:rsidR="005C53F1">
        <w:t>e</w:t>
      </w:r>
      <w:r w:rsidR="00450C73">
        <w:t xml:space="preserve"> každé oprávněné osobě přiděleno dražební číslo. Účastníkům dražby, kteří se nestanou vydražiteli, se vrací dražební jistota složená na účet dražebníka bankovním převodem ve prospěch účtu, který účastník písemně sdělí dražebníkovi, a to bez zbytečného odkladu. Dražební jistotu složenou v hotovosti k rukám dražebníka a dražební jistotu složenou na</w:t>
      </w:r>
      <w:r w:rsidR="005C53F1">
        <w:t xml:space="preserve"> </w:t>
      </w:r>
      <w:r w:rsidR="00450C73">
        <w:t xml:space="preserve">místě předloženou bankovní zárukou vrátí dražebník po převzetí dražebního čísla po ukončení dražby. </w:t>
      </w:r>
      <w:r w:rsidR="00450C73">
        <w:lastRenderedPageBreak/>
        <w:t>Listiny, jimiž oprávněné osoby doložily svá práva vůči předmětu dražby, nebo vznik pohledávek, vrátí dražebník bez zbytečného odkladu</w:t>
      </w:r>
      <w:r w:rsidR="00757BF6">
        <w:t>.</w:t>
      </w:r>
    </w:p>
    <w:p w:rsidR="00450C73" w:rsidRDefault="00450C73" w:rsidP="00A8347D">
      <w:pPr>
        <w:pStyle w:val="lnek-Monika"/>
      </w:pPr>
      <w:r>
        <w:t>vstupné</w:t>
      </w:r>
    </w:p>
    <w:p w:rsidR="00450C73" w:rsidRDefault="00450C73" w:rsidP="00757BF6">
      <w:pPr>
        <w:pStyle w:val="Odstavecseseznamem"/>
        <w:numPr>
          <w:ilvl w:val="1"/>
          <w:numId w:val="1"/>
        </w:numPr>
        <w:ind w:left="426" w:hanging="426"/>
        <w:jc w:val="both"/>
      </w:pPr>
      <w:r>
        <w:t>Vstupné do dražební místnosti pro návštěvníky dražby, kteří nebudou dražit či</w:t>
      </w:r>
      <w:r w:rsidR="008B4986">
        <w:t>n</w:t>
      </w:r>
      <w:r>
        <w:t xml:space="preserve">í </w:t>
      </w:r>
      <w:r w:rsidR="00035D22">
        <w:t>100, – Kč</w:t>
      </w:r>
      <w:r>
        <w:t>.</w:t>
      </w:r>
    </w:p>
    <w:p w:rsidR="00450C73" w:rsidRDefault="00450C73" w:rsidP="00A8347D">
      <w:pPr>
        <w:pStyle w:val="lnek-Monika"/>
      </w:pPr>
      <w:r>
        <w:t>cena dosažená vydražením</w:t>
      </w:r>
    </w:p>
    <w:p w:rsidR="00652D60" w:rsidRDefault="00450C73" w:rsidP="00757BF6">
      <w:pPr>
        <w:pStyle w:val="Odstavecseseznamem"/>
        <w:numPr>
          <w:ilvl w:val="1"/>
          <w:numId w:val="1"/>
        </w:numPr>
        <w:ind w:left="426" w:hanging="426"/>
        <w:jc w:val="both"/>
      </w:pPr>
      <w:r>
        <w:t xml:space="preserve">Dražební jistota, kterou vydražitel zaplatil před započetím dražby, se započítává na cenu dosaženou vydražením. Zbývající část ceny dosažené vydražením je vydražitel povinen do 10 dnů od skončení dražby uhradit dražebníkovi, není-li dále stanovena jiná lhůta k úhradě ceny dosažené vydražením. Není-li cena dosažená vydražením vyšší než </w:t>
      </w:r>
      <w:r w:rsidR="00035D22">
        <w:t>200.000,</w:t>
      </w:r>
      <w:r w:rsidR="00E83E84">
        <w:t>-</w:t>
      </w:r>
      <w:r w:rsidR="00035D22">
        <w:t xml:space="preserve"> Kč</w:t>
      </w:r>
      <w:r>
        <w:t xml:space="preserve">, je vydražitel povinen uhradit cenu dosaženou vydražením ihned po skončení dražby. Je-li cena dosažená vydražením vyšší než </w:t>
      </w:r>
      <w:r w:rsidR="00035D22">
        <w:t>500.000,</w:t>
      </w:r>
      <w:r w:rsidR="00E83E84">
        <w:t xml:space="preserve">- </w:t>
      </w:r>
      <w:r w:rsidR="00035D22">
        <w:t>Kč</w:t>
      </w:r>
      <w:r>
        <w:t xml:space="preserve">, je vydražitel povinen zbývající část ceny dosažené vydražením uhradit nejpozději do </w:t>
      </w:r>
      <w:r w:rsidR="0089020B">
        <w:t>9</w:t>
      </w:r>
      <w:r>
        <w:t>0 dnů ode dne skončení dražby dražebníkovi, a to v hotovosti k rukám dražebníka nebo bankovním převodem ve prospěch účtu dražebníka.</w:t>
      </w:r>
    </w:p>
    <w:p w:rsidR="00DA5A97" w:rsidRDefault="00DA5A97" w:rsidP="00DA5A97">
      <w:pPr>
        <w:pStyle w:val="Odstavecseseznamem"/>
        <w:ind w:left="426"/>
        <w:jc w:val="both"/>
      </w:pPr>
    </w:p>
    <w:p w:rsidR="00450C73" w:rsidRDefault="00450C73" w:rsidP="00757BF6">
      <w:pPr>
        <w:pStyle w:val="Odstavecseseznamem"/>
        <w:numPr>
          <w:ilvl w:val="1"/>
          <w:numId w:val="1"/>
        </w:numPr>
        <w:ind w:left="426" w:hanging="426"/>
        <w:jc w:val="both"/>
      </w:pPr>
      <w:r>
        <w:t>Byla-li složená dražební jistota ve formě bankovní záruky, je vydražitel povinen uhradit cenu dosaženou vydražením v plné výši v termínu její splatnosti. Dražebník je pak povinen bez zbytečného odkladu po uhrazení celé ceny vrátit vydražiteli záruční listiny. Cenu dosaženou vydražením nelze uhradit započtením, rovněž platba směnkou, platební kartou, šekem je nepřípustná.</w:t>
      </w:r>
      <w:r>
        <w:br/>
      </w:r>
    </w:p>
    <w:p w:rsidR="00757BF6" w:rsidRDefault="00450C73" w:rsidP="00757BF6">
      <w:pPr>
        <w:pStyle w:val="Odstavecseseznamem"/>
        <w:numPr>
          <w:ilvl w:val="1"/>
          <w:numId w:val="1"/>
        </w:numPr>
        <w:ind w:left="426" w:hanging="426"/>
        <w:jc w:val="both"/>
      </w:pPr>
      <w:r>
        <w:t>Uhradí-li vydražitel cenu dosaženou vydražením v termínu splatnosti, přechází na něj k okamžiku udělení příklepu vlastnictví předmětu dražby. Okamžikem doplacení celé vydraže</w:t>
      </w:r>
      <w:r w:rsidR="00400F35">
        <w:t>n</w:t>
      </w:r>
      <w:r>
        <w:t>é částky je dražební úkon pro vydražitele bezúplatný.</w:t>
      </w:r>
    </w:p>
    <w:p w:rsidR="00450C73" w:rsidRDefault="00450C73" w:rsidP="00757BF6">
      <w:pPr>
        <w:pStyle w:val="Odstavecseseznamem"/>
        <w:ind w:left="426"/>
        <w:jc w:val="both"/>
      </w:pPr>
    </w:p>
    <w:p w:rsidR="00A8629E" w:rsidRDefault="00450C73" w:rsidP="00757BF6">
      <w:pPr>
        <w:pStyle w:val="Odstavecseseznamem"/>
        <w:numPr>
          <w:ilvl w:val="1"/>
          <w:numId w:val="1"/>
        </w:numPr>
        <w:ind w:left="426" w:hanging="426"/>
        <w:jc w:val="both"/>
      </w:pPr>
      <w:r>
        <w:t>Nezaplacení ceny dosažené vydražením ve stanovené lhůtě zakládá důsledky zmařené dražby, včetně odpovědnosti vydražitele, který zmařil dražbu k úhradě nákladů této dražby, případně úhrady nákl</w:t>
      </w:r>
      <w:r w:rsidR="005C53F1">
        <w:t>a</w:t>
      </w:r>
      <w:r>
        <w:t xml:space="preserve">dů dražby opakované. </w:t>
      </w:r>
      <w:r w:rsidR="005C53F1">
        <w:t>J</w:t>
      </w:r>
      <w:r>
        <w:t>e-li dražba zmařená vydražitelem, složená dražební jistota se použije na náklady zmařené dražby a na náklady opakované dražby. Pokud nepokryje složená dražební jistota tyto náklady, je vydražitel, který způsobil zmaření dražby povinen uhradit na vyzvání dražebníka i tu část výše uvedených nákladů, které přesahují složenou dražební jistotu.</w:t>
      </w:r>
    </w:p>
    <w:p w:rsidR="00450C73" w:rsidRDefault="00450C73" w:rsidP="00A8347D">
      <w:pPr>
        <w:pStyle w:val="lnek-Monika"/>
      </w:pPr>
      <w:r>
        <w:t>změna rozsahu práv, závazků a stavu</w:t>
      </w:r>
    </w:p>
    <w:p w:rsidR="00757BF6" w:rsidRDefault="00450C73" w:rsidP="00757BF6">
      <w:pPr>
        <w:pStyle w:val="Odstavecseseznamem"/>
        <w:numPr>
          <w:ilvl w:val="1"/>
          <w:numId w:val="1"/>
        </w:numPr>
        <w:ind w:left="426" w:hanging="426"/>
        <w:jc w:val="both"/>
      </w:pPr>
      <w:r>
        <w:t>Podmínky a údaje, kt</w:t>
      </w:r>
      <w:r w:rsidR="00757BF6">
        <w:t>e</w:t>
      </w:r>
      <w:r>
        <w:t>ré jsou uvedeny v této dražební vyhlášce ne</w:t>
      </w:r>
      <w:r w:rsidR="00757BF6">
        <w:t>l</w:t>
      </w:r>
      <w:r>
        <w:t xml:space="preserve">ze dodatečně měnit. To </w:t>
      </w:r>
      <w:r w:rsidR="00A8629E">
        <w:t>neplatí, pokud</w:t>
      </w:r>
      <w:r>
        <w:t xml:space="preserve"> dojde ke změnám v rozsahu práv a závazků na předmětu dražby váznoucích a</w:t>
      </w:r>
      <w:r w:rsidR="00243BCA">
        <w:t> </w:t>
      </w:r>
      <w:r>
        <w:t>s ním spojených</w:t>
      </w:r>
      <w:r w:rsidR="005C53F1">
        <w:t>,</w:t>
      </w:r>
      <w:r>
        <w:t xml:space="preserve"> nebo stavu, v němž se předmět dražby nachází. V tomto případě bude bez zbytečného odkladu vyhotoven dodatek k této dražební vyhlášce.</w:t>
      </w:r>
    </w:p>
    <w:p w:rsidR="006E1AD6" w:rsidRDefault="006E1AD6" w:rsidP="006E1AD6">
      <w:pPr>
        <w:pStyle w:val="Odstavecseseznamem"/>
        <w:ind w:left="426"/>
        <w:jc w:val="both"/>
      </w:pPr>
    </w:p>
    <w:p w:rsidR="00450C73" w:rsidRDefault="00450C73" w:rsidP="00757BF6">
      <w:pPr>
        <w:pStyle w:val="Odstavecseseznamem"/>
        <w:numPr>
          <w:ilvl w:val="1"/>
          <w:numId w:val="1"/>
        </w:numPr>
        <w:ind w:left="426" w:hanging="426"/>
        <w:jc w:val="both"/>
      </w:pPr>
      <w:r>
        <w:t>Osoby, které mají k předmětu dražby předkupní právo, jsou povinny doložit dražebníkovi své právo listinami v originále nebo úředně ověřené kopii, a to do zahájení dražby, jinak je nelze uplatnit.</w:t>
      </w:r>
      <w:r>
        <w:br/>
      </w:r>
    </w:p>
    <w:p w:rsidR="00450C73" w:rsidRDefault="00450C73" w:rsidP="00757BF6">
      <w:pPr>
        <w:pStyle w:val="Odstavecseseznamem"/>
        <w:numPr>
          <w:ilvl w:val="1"/>
          <w:numId w:val="1"/>
        </w:numPr>
        <w:ind w:left="426" w:hanging="426"/>
        <w:jc w:val="both"/>
      </w:pPr>
      <w:r>
        <w:t>Vydražitel může do doby zaplacení ceny dosažené vydražením uzavřít s navrhovatelem nájemní smlouvu o užívání předmětu dražby.</w:t>
      </w:r>
    </w:p>
    <w:p w:rsidR="00454761" w:rsidRDefault="00454761" w:rsidP="00454761">
      <w:pPr>
        <w:pStyle w:val="lnek-Monika"/>
      </w:pPr>
      <w:r>
        <w:lastRenderedPageBreak/>
        <w:t>podmínky odevzdání předmětu dražby</w:t>
      </w:r>
    </w:p>
    <w:p w:rsidR="00454761" w:rsidRDefault="00454761" w:rsidP="00454761">
      <w:pPr>
        <w:pStyle w:val="Odstavecseseznamem"/>
        <w:numPr>
          <w:ilvl w:val="1"/>
          <w:numId w:val="1"/>
        </w:numPr>
        <w:ind w:left="426" w:hanging="502"/>
        <w:jc w:val="both"/>
      </w:pPr>
      <w:r>
        <w:t>Předmět dražby bude vydán za podmínky, že vydražitel uhradil cenu dosaženou vydražením ve stanovené lhůtě.</w:t>
      </w:r>
    </w:p>
    <w:p w:rsidR="00454761" w:rsidRDefault="00454761" w:rsidP="00454761">
      <w:pPr>
        <w:pStyle w:val="Odstavecseseznamem"/>
        <w:jc w:val="both"/>
      </w:pPr>
    </w:p>
    <w:p w:rsidR="00454761" w:rsidRDefault="00454761" w:rsidP="00454761">
      <w:pPr>
        <w:ind w:left="420" w:hanging="476"/>
        <w:jc w:val="both"/>
      </w:pPr>
      <w:r w:rsidRPr="000B4BA5">
        <w:t>10</w:t>
      </w:r>
      <w:r w:rsidRPr="005C53F1">
        <w:rPr>
          <w:b/>
        </w:rPr>
        <w:t>.</w:t>
      </w:r>
      <w:r w:rsidRPr="000B4BA5">
        <w:t>2</w:t>
      </w:r>
      <w:r>
        <w:t>. Jestliže nabyl vydražitel vlastnictví k předmětu dražby (úhrada ceny dosažené vydražením ve stanovené době a formě) dle § 29 zákona č. 26/2000 Sb., o veřejných dražbách, je dražebník povinen předat vydražiteli předmět dražby a listiny, které osvědčují vlastnictví a jsou nezbytné k nakládání s předmětem dražby nebo osvědčují jiná práva vydražitele vůči předmětu dražby. Jde-li o nemovitost, předává předmět dražby vydražiteli za účasti dražebníka bývalý vlastník (popř. navrhovatel). O předání předmětu dražby bude sepsán „Protokol o předání předmětu dražby“, který podepíše dražebník, bývalý vlastník (navrhovatel) a vydražitel. Odmítne-li některá z uvedených osob předávací protokol podepsat, poznamená to dražebník v tomto protokolu.</w:t>
      </w:r>
      <w:r>
        <w:br/>
      </w:r>
    </w:p>
    <w:p w:rsidR="00454761" w:rsidRDefault="00454761" w:rsidP="00454761">
      <w:pPr>
        <w:ind w:left="434" w:hanging="504"/>
        <w:jc w:val="both"/>
      </w:pPr>
      <w:r w:rsidRPr="000B4BA5">
        <w:t>10.3.</w:t>
      </w:r>
      <w:r>
        <w:t xml:space="preserve"> Veškeré náklady spojené s předáním a převzetím předmětu dražby nese vydražitel, vyjma nadbytečných nákladů vzniklých z důvodů na straně bývalého vlastníka nebo dražebníka, které činí </w:t>
      </w:r>
      <w:r w:rsidR="0089020B">
        <w:t>5</w:t>
      </w:r>
      <w:r>
        <w:t>.000,- Kč bez příslušné sazby DPH.</w:t>
      </w:r>
    </w:p>
    <w:p w:rsidR="00454761" w:rsidRDefault="00454761" w:rsidP="00454761">
      <w:pPr>
        <w:ind w:left="426" w:hanging="426"/>
        <w:jc w:val="both"/>
      </w:pPr>
    </w:p>
    <w:p w:rsidR="00454761" w:rsidRDefault="00454761" w:rsidP="00454761">
      <w:pPr>
        <w:ind w:left="392" w:hanging="462"/>
        <w:jc w:val="both"/>
      </w:pPr>
      <w:r w:rsidRPr="000B4BA5">
        <w:t>10.4.</w:t>
      </w:r>
      <w:r>
        <w:t xml:space="preserve"> Nebezpečí škody na předmětu dražby přechází z bývalého vlastníka (navrhovatele, popř. držitele) na vydražitele dnem předání předmětu dražby, týž den přechází na vydražitele odpovědnost za škodu způsobenou v souvislosti s předmětem dražby. Je-li vydražitel v prodlení s převzetím předmětu dražby, nese nebezpečí škody a odpovědnost za škodu vydražitel.</w:t>
      </w:r>
    </w:p>
    <w:p w:rsidR="00454761" w:rsidRDefault="00454761" w:rsidP="00454761">
      <w:pPr>
        <w:pStyle w:val="lnek-Monika"/>
      </w:pPr>
      <w:r>
        <w:t>závěrečná ustanovení</w:t>
      </w:r>
    </w:p>
    <w:p w:rsidR="00454761" w:rsidRDefault="00454761" w:rsidP="006E1AD6">
      <w:pPr>
        <w:pStyle w:val="Odstavecseseznamem"/>
        <w:numPr>
          <w:ilvl w:val="1"/>
          <w:numId w:val="1"/>
        </w:numPr>
        <w:ind w:left="426" w:hanging="426"/>
        <w:jc w:val="both"/>
      </w:pPr>
      <w:r>
        <w:t>Účastníci dražby jsou povinni na vyzvání dražebníka doložit svoji totožnost, popřípadě své oprávnění jednat za účastníka dražby, dát se zapsat do seznamu účastníků dražby, převzít dražební číslo, dodržovat dražební řád, respektovat pokyny dražebníka nebo osoby jím písemně pověřené.</w:t>
      </w:r>
    </w:p>
    <w:p w:rsidR="006E1AD6" w:rsidRDefault="006E1AD6" w:rsidP="006E1AD6">
      <w:pPr>
        <w:pStyle w:val="Odstavecseseznamem"/>
        <w:jc w:val="both"/>
      </w:pPr>
    </w:p>
    <w:p w:rsidR="00454761" w:rsidRDefault="00454761" w:rsidP="00454761">
      <w:pPr>
        <w:ind w:left="426" w:hanging="482"/>
        <w:jc w:val="both"/>
      </w:pPr>
      <w:r w:rsidRPr="000B4BA5">
        <w:t>11.2.</w:t>
      </w:r>
      <w:r>
        <w:t xml:space="preserve"> V zájmu účastníků dražby je, seznámit se s dražebním řádem, dražební vyhláškou a ostatními skutečnostmi před zahájením dražby. Informace, informační memoranda, dražební řád a dražební vyhláška jsou k dispozici i v sídle dražebníka, případné další informace na tel. čísle: 602 462 210.</w:t>
      </w:r>
    </w:p>
    <w:p w:rsidR="00454761" w:rsidRDefault="00454761" w:rsidP="00454761">
      <w:pPr>
        <w:jc w:val="both"/>
      </w:pPr>
    </w:p>
    <w:p w:rsidR="00454761" w:rsidRDefault="00454761" w:rsidP="00454761">
      <w:pPr>
        <w:ind w:left="426" w:hanging="496"/>
        <w:jc w:val="both"/>
      </w:pPr>
      <w:r w:rsidRPr="000B4BA5">
        <w:t>11.3.</w:t>
      </w:r>
      <w:r>
        <w:t xml:space="preserve"> Tato dražební vyhláška byla sepsána v šesti stejnopisech, z nichž jedno vyhotovení je určeno pro navrhovatele, dvě vyhotovení jsou pro vydražitele a dvě vyhotovení pro potřeby dražebníka a dále je jedno určeno pro správce centrální adresy. Kopii dražební vyhlášky dále dražebník zašle v zákonem stanovených lhůtách osobám uvedeným v § 20 odst. 5 zákona č. 26/2000 Sb., o veřejných dražbách.</w:t>
      </w:r>
    </w:p>
    <w:p w:rsidR="00454761" w:rsidRDefault="00454761" w:rsidP="00454761"/>
    <w:p w:rsidR="00454761" w:rsidRDefault="00454761" w:rsidP="00454761">
      <w:pPr>
        <w:jc w:val="center"/>
      </w:pPr>
      <w:r>
        <w:t>Dne………………………………………………..</w:t>
      </w:r>
    </w:p>
    <w:p w:rsidR="00454761" w:rsidRDefault="00454761" w:rsidP="00454761">
      <w:pPr>
        <w:tabs>
          <w:tab w:val="left" w:pos="284"/>
          <w:tab w:val="left" w:pos="5103"/>
        </w:tabs>
      </w:pPr>
    </w:p>
    <w:p w:rsidR="00454761" w:rsidRDefault="00454761" w:rsidP="00454761">
      <w:pPr>
        <w:tabs>
          <w:tab w:val="left" w:pos="284"/>
          <w:tab w:val="left" w:pos="5103"/>
        </w:tabs>
      </w:pPr>
    </w:p>
    <w:p w:rsidR="0073530E" w:rsidRDefault="0073530E" w:rsidP="00454761">
      <w:pPr>
        <w:tabs>
          <w:tab w:val="left" w:pos="284"/>
          <w:tab w:val="left" w:pos="5103"/>
        </w:tabs>
      </w:pPr>
    </w:p>
    <w:p w:rsidR="00454761" w:rsidRDefault="00454761" w:rsidP="00454761">
      <w:pPr>
        <w:tabs>
          <w:tab w:val="left" w:pos="284"/>
          <w:tab w:val="left" w:pos="5103"/>
        </w:tabs>
      </w:pPr>
      <w:r>
        <w:t>………………………………………………………..</w:t>
      </w:r>
      <w:r>
        <w:tab/>
        <w:t>………………………………………………………………..</w:t>
      </w:r>
    </w:p>
    <w:p w:rsidR="00454761" w:rsidRDefault="00454761" w:rsidP="00454761">
      <w:pPr>
        <w:tabs>
          <w:tab w:val="center" w:pos="1418"/>
          <w:tab w:val="center" w:pos="7088"/>
        </w:tabs>
      </w:pPr>
      <w:r>
        <w:tab/>
        <w:t>navrhovatel</w:t>
      </w:r>
      <w:r>
        <w:tab/>
        <w:t>dražebník</w:t>
      </w:r>
    </w:p>
    <w:p w:rsidR="00454761" w:rsidRDefault="00454761" w:rsidP="00454761">
      <w:pPr>
        <w:tabs>
          <w:tab w:val="center" w:pos="1418"/>
          <w:tab w:val="center" w:pos="7088"/>
        </w:tabs>
      </w:pPr>
    </w:p>
    <w:p w:rsidR="00454761" w:rsidRDefault="00454761" w:rsidP="00454761">
      <w:pPr>
        <w:tabs>
          <w:tab w:val="center" w:pos="1701"/>
          <w:tab w:val="center" w:pos="7230"/>
        </w:tabs>
      </w:pPr>
      <w:r>
        <w:tab/>
        <w:t>IKT INSOLVENCE v.o.s., IS dlužník</w:t>
      </w:r>
      <w:r w:rsidR="0073530E">
        <w:t>ů</w:t>
      </w:r>
      <w:r>
        <w:tab/>
        <w:t>FIST Praha s.r.o.</w:t>
      </w:r>
    </w:p>
    <w:p w:rsidR="00454761" w:rsidRDefault="00454761" w:rsidP="00454761">
      <w:pPr>
        <w:tabs>
          <w:tab w:val="center" w:pos="1701"/>
          <w:tab w:val="center" w:pos="7230"/>
        </w:tabs>
      </w:pPr>
      <w:r>
        <w:tab/>
      </w:r>
      <w:r w:rsidR="0073530E">
        <w:t>Vladimír Buchal a Jitka Buchalová</w:t>
      </w:r>
      <w:r>
        <w:tab/>
        <w:t>Mgr. Monika Mazná</w:t>
      </w:r>
    </w:p>
    <w:p w:rsidR="00454761" w:rsidRDefault="00454761" w:rsidP="00454761">
      <w:pPr>
        <w:tabs>
          <w:tab w:val="center" w:pos="1701"/>
          <w:tab w:val="center" w:pos="7230"/>
        </w:tabs>
      </w:pPr>
      <w:r>
        <w:tab/>
        <w:t>Mgr. Karel Touschek</w:t>
      </w:r>
      <w:r>
        <w:tab/>
        <w:t>jednatelka společnosti</w:t>
      </w:r>
    </w:p>
    <w:p w:rsidR="00454761" w:rsidRPr="00454761" w:rsidRDefault="00454761" w:rsidP="00454761">
      <w:pPr>
        <w:tabs>
          <w:tab w:val="center" w:pos="1701"/>
          <w:tab w:val="center" w:pos="7230"/>
        </w:tabs>
      </w:pPr>
      <w:r>
        <w:tab/>
        <w:t>ohlášený společník</w:t>
      </w:r>
    </w:p>
    <w:sectPr w:rsidR="00454761" w:rsidRPr="00454761" w:rsidSect="00416C48">
      <w:footerReference w:type="default" r:id="rId8"/>
      <w:pgSz w:w="11906" w:h="16838"/>
      <w:pgMar w:top="1135" w:right="1417" w:bottom="709" w:left="1417" w:header="708"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EA" w:rsidRDefault="007315EA" w:rsidP="0066149E">
      <w:r>
        <w:separator/>
      </w:r>
    </w:p>
  </w:endnote>
  <w:endnote w:type="continuationSeparator" w:id="0">
    <w:p w:rsidR="007315EA" w:rsidRDefault="007315EA" w:rsidP="0066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20740934"/>
      <w:docPartObj>
        <w:docPartGallery w:val="Page Numbers (Bottom of Page)"/>
        <w:docPartUnique/>
      </w:docPartObj>
    </w:sdtPr>
    <w:sdtEndPr/>
    <w:sdtContent>
      <w:sdt>
        <w:sdtPr>
          <w:rPr>
            <w:sz w:val="18"/>
            <w:szCs w:val="18"/>
          </w:rPr>
          <w:id w:val="-171261254"/>
          <w:docPartObj>
            <w:docPartGallery w:val="Page Numbers (Top of Page)"/>
            <w:docPartUnique/>
          </w:docPartObj>
        </w:sdtPr>
        <w:sdtEndPr/>
        <w:sdtContent>
          <w:p w:rsidR="00AE371F" w:rsidRDefault="00AE371F">
            <w:pPr>
              <w:pStyle w:val="Zpat"/>
              <w:jc w:val="center"/>
              <w:rPr>
                <w:sz w:val="18"/>
                <w:szCs w:val="18"/>
              </w:rPr>
            </w:pPr>
          </w:p>
          <w:p w:rsidR="00AE371F" w:rsidRPr="00D97E72" w:rsidRDefault="00AE371F">
            <w:pPr>
              <w:pStyle w:val="Zpat"/>
              <w:jc w:val="center"/>
              <w:rPr>
                <w:sz w:val="18"/>
                <w:szCs w:val="18"/>
              </w:rPr>
            </w:pPr>
            <w:r w:rsidRPr="00D97E72">
              <w:rPr>
                <w:sz w:val="18"/>
                <w:szCs w:val="18"/>
              </w:rPr>
              <w:t xml:space="preserve">Stránka </w:t>
            </w:r>
            <w:r w:rsidR="00427D6D" w:rsidRPr="00D97E72">
              <w:rPr>
                <w:b/>
                <w:sz w:val="18"/>
                <w:szCs w:val="18"/>
              </w:rPr>
              <w:fldChar w:fldCharType="begin"/>
            </w:r>
            <w:r w:rsidRPr="00D97E72">
              <w:rPr>
                <w:b/>
                <w:sz w:val="18"/>
                <w:szCs w:val="18"/>
              </w:rPr>
              <w:instrText>PAGE</w:instrText>
            </w:r>
            <w:r w:rsidR="00427D6D" w:rsidRPr="00D97E72">
              <w:rPr>
                <w:b/>
                <w:sz w:val="18"/>
                <w:szCs w:val="18"/>
              </w:rPr>
              <w:fldChar w:fldCharType="separate"/>
            </w:r>
            <w:r w:rsidR="002C3B56">
              <w:rPr>
                <w:b/>
                <w:noProof/>
                <w:sz w:val="18"/>
                <w:szCs w:val="18"/>
              </w:rPr>
              <w:t>6</w:t>
            </w:r>
            <w:r w:rsidR="00427D6D" w:rsidRPr="00D97E72">
              <w:rPr>
                <w:b/>
                <w:sz w:val="18"/>
                <w:szCs w:val="18"/>
              </w:rPr>
              <w:fldChar w:fldCharType="end"/>
            </w:r>
            <w:r w:rsidRPr="00D97E72">
              <w:rPr>
                <w:sz w:val="18"/>
                <w:szCs w:val="18"/>
              </w:rPr>
              <w:t xml:space="preserve"> z </w:t>
            </w:r>
            <w:r w:rsidR="00427D6D" w:rsidRPr="00D97E72">
              <w:rPr>
                <w:b/>
                <w:sz w:val="18"/>
                <w:szCs w:val="18"/>
              </w:rPr>
              <w:fldChar w:fldCharType="begin"/>
            </w:r>
            <w:r w:rsidRPr="00D97E72">
              <w:rPr>
                <w:b/>
                <w:sz w:val="18"/>
                <w:szCs w:val="18"/>
              </w:rPr>
              <w:instrText>NUMPAGES</w:instrText>
            </w:r>
            <w:r w:rsidR="00427D6D" w:rsidRPr="00D97E72">
              <w:rPr>
                <w:b/>
                <w:sz w:val="18"/>
                <w:szCs w:val="18"/>
              </w:rPr>
              <w:fldChar w:fldCharType="separate"/>
            </w:r>
            <w:r w:rsidR="002C3B56">
              <w:rPr>
                <w:b/>
                <w:noProof/>
                <w:sz w:val="18"/>
                <w:szCs w:val="18"/>
              </w:rPr>
              <w:t>6</w:t>
            </w:r>
            <w:r w:rsidR="00427D6D" w:rsidRPr="00D97E72">
              <w:rPr>
                <w:b/>
                <w:sz w:val="18"/>
                <w:szCs w:val="18"/>
              </w:rPr>
              <w:fldChar w:fldCharType="end"/>
            </w:r>
          </w:p>
        </w:sdtContent>
      </w:sdt>
    </w:sdtContent>
  </w:sdt>
  <w:p w:rsidR="00AE371F" w:rsidRDefault="00AE37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EA" w:rsidRDefault="007315EA" w:rsidP="0066149E">
      <w:r>
        <w:separator/>
      </w:r>
    </w:p>
  </w:footnote>
  <w:footnote w:type="continuationSeparator" w:id="0">
    <w:p w:rsidR="007315EA" w:rsidRDefault="007315EA" w:rsidP="00661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B39"/>
    <w:multiLevelType w:val="hybridMultilevel"/>
    <w:tmpl w:val="A6080734"/>
    <w:lvl w:ilvl="0" w:tplc="5C361770">
      <w:start w:val="3"/>
      <w:numFmt w:val="bullet"/>
      <w:lvlText w:val="-"/>
      <w:lvlJc w:val="left"/>
      <w:pPr>
        <w:ind w:left="786" w:hanging="360"/>
      </w:pPr>
      <w:rPr>
        <w:rFonts w:ascii="Calibri" w:eastAsiaTheme="minorHAnsi" w:hAnsi="Calibri"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nsid w:val="04893BB5"/>
    <w:multiLevelType w:val="hybridMultilevel"/>
    <w:tmpl w:val="C472E0DC"/>
    <w:lvl w:ilvl="0" w:tplc="C896D7B8">
      <w:start w:val="3"/>
      <w:numFmt w:val="bullet"/>
      <w:lvlText w:val="-"/>
      <w:lvlJc w:val="left"/>
      <w:pPr>
        <w:tabs>
          <w:tab w:val="num" w:pos="1330"/>
        </w:tabs>
        <w:ind w:left="1330" w:hanging="360"/>
      </w:pPr>
      <w:rPr>
        <w:rFonts w:ascii="Times New Roman" w:eastAsia="Times New Roman" w:hAnsi="Times New Roman" w:cs="Times New Roman" w:hint="default"/>
      </w:rPr>
    </w:lvl>
    <w:lvl w:ilvl="1" w:tplc="04050003">
      <w:start w:val="1"/>
      <w:numFmt w:val="bullet"/>
      <w:lvlText w:val="o"/>
      <w:lvlJc w:val="left"/>
      <w:pPr>
        <w:tabs>
          <w:tab w:val="num" w:pos="2050"/>
        </w:tabs>
        <w:ind w:left="2050" w:hanging="360"/>
      </w:pPr>
      <w:rPr>
        <w:rFonts w:ascii="Courier New" w:hAnsi="Courier New" w:cs="Courier New" w:hint="default"/>
      </w:rPr>
    </w:lvl>
    <w:lvl w:ilvl="2" w:tplc="04050005" w:tentative="1">
      <w:start w:val="1"/>
      <w:numFmt w:val="bullet"/>
      <w:lvlText w:val=""/>
      <w:lvlJc w:val="left"/>
      <w:pPr>
        <w:tabs>
          <w:tab w:val="num" w:pos="2770"/>
        </w:tabs>
        <w:ind w:left="2770" w:hanging="360"/>
      </w:pPr>
      <w:rPr>
        <w:rFonts w:ascii="Wingdings" w:hAnsi="Wingdings" w:hint="default"/>
      </w:rPr>
    </w:lvl>
    <w:lvl w:ilvl="3" w:tplc="04050001" w:tentative="1">
      <w:start w:val="1"/>
      <w:numFmt w:val="bullet"/>
      <w:lvlText w:val=""/>
      <w:lvlJc w:val="left"/>
      <w:pPr>
        <w:tabs>
          <w:tab w:val="num" w:pos="3490"/>
        </w:tabs>
        <w:ind w:left="3490" w:hanging="360"/>
      </w:pPr>
      <w:rPr>
        <w:rFonts w:ascii="Symbol" w:hAnsi="Symbol" w:hint="default"/>
      </w:rPr>
    </w:lvl>
    <w:lvl w:ilvl="4" w:tplc="04050003" w:tentative="1">
      <w:start w:val="1"/>
      <w:numFmt w:val="bullet"/>
      <w:lvlText w:val="o"/>
      <w:lvlJc w:val="left"/>
      <w:pPr>
        <w:tabs>
          <w:tab w:val="num" w:pos="4210"/>
        </w:tabs>
        <w:ind w:left="4210" w:hanging="360"/>
      </w:pPr>
      <w:rPr>
        <w:rFonts w:ascii="Courier New" w:hAnsi="Courier New" w:cs="Courier New" w:hint="default"/>
      </w:rPr>
    </w:lvl>
    <w:lvl w:ilvl="5" w:tplc="04050005" w:tentative="1">
      <w:start w:val="1"/>
      <w:numFmt w:val="bullet"/>
      <w:lvlText w:val=""/>
      <w:lvlJc w:val="left"/>
      <w:pPr>
        <w:tabs>
          <w:tab w:val="num" w:pos="4930"/>
        </w:tabs>
        <w:ind w:left="4930" w:hanging="360"/>
      </w:pPr>
      <w:rPr>
        <w:rFonts w:ascii="Wingdings" w:hAnsi="Wingdings" w:hint="default"/>
      </w:rPr>
    </w:lvl>
    <w:lvl w:ilvl="6" w:tplc="04050001" w:tentative="1">
      <w:start w:val="1"/>
      <w:numFmt w:val="bullet"/>
      <w:lvlText w:val=""/>
      <w:lvlJc w:val="left"/>
      <w:pPr>
        <w:tabs>
          <w:tab w:val="num" w:pos="5650"/>
        </w:tabs>
        <w:ind w:left="5650" w:hanging="360"/>
      </w:pPr>
      <w:rPr>
        <w:rFonts w:ascii="Symbol" w:hAnsi="Symbol" w:hint="default"/>
      </w:rPr>
    </w:lvl>
    <w:lvl w:ilvl="7" w:tplc="04050003" w:tentative="1">
      <w:start w:val="1"/>
      <w:numFmt w:val="bullet"/>
      <w:lvlText w:val="o"/>
      <w:lvlJc w:val="left"/>
      <w:pPr>
        <w:tabs>
          <w:tab w:val="num" w:pos="6370"/>
        </w:tabs>
        <w:ind w:left="6370" w:hanging="360"/>
      </w:pPr>
      <w:rPr>
        <w:rFonts w:ascii="Courier New" w:hAnsi="Courier New" w:cs="Courier New" w:hint="default"/>
      </w:rPr>
    </w:lvl>
    <w:lvl w:ilvl="8" w:tplc="04050005" w:tentative="1">
      <w:start w:val="1"/>
      <w:numFmt w:val="bullet"/>
      <w:lvlText w:val=""/>
      <w:lvlJc w:val="left"/>
      <w:pPr>
        <w:tabs>
          <w:tab w:val="num" w:pos="7090"/>
        </w:tabs>
        <w:ind w:left="7090" w:hanging="360"/>
      </w:pPr>
      <w:rPr>
        <w:rFonts w:ascii="Wingdings" w:hAnsi="Wingdings" w:hint="default"/>
      </w:rPr>
    </w:lvl>
  </w:abstractNum>
  <w:abstractNum w:abstractNumId="2">
    <w:nsid w:val="0491527E"/>
    <w:multiLevelType w:val="hybridMultilevel"/>
    <w:tmpl w:val="27A094BA"/>
    <w:lvl w:ilvl="0" w:tplc="A718DB02">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0B1B3B"/>
    <w:multiLevelType w:val="hybridMultilevel"/>
    <w:tmpl w:val="BF2C8C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1FA19CC"/>
    <w:multiLevelType w:val="multilevel"/>
    <w:tmpl w:val="2CDC3ED4"/>
    <w:lvl w:ilvl="0">
      <w:start w:val="1"/>
      <w:numFmt w:val="upperRoman"/>
      <w:pStyle w:val="lnek-Monika"/>
      <w:lvlText w:val="%1."/>
      <w:lvlJc w:val="right"/>
      <w:pPr>
        <w:ind w:left="4188"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8972F6"/>
    <w:multiLevelType w:val="hybridMultilevel"/>
    <w:tmpl w:val="F904C958"/>
    <w:lvl w:ilvl="0" w:tplc="C84A4AE0">
      <w:start w:val="1"/>
      <w:numFmt w:val="decimal"/>
      <w:lvlText w:val="%1)"/>
      <w:lvlJc w:val="left"/>
      <w:pPr>
        <w:ind w:left="1500" w:hanging="36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6">
    <w:nsid w:val="2F8408D6"/>
    <w:multiLevelType w:val="hybridMultilevel"/>
    <w:tmpl w:val="27A07200"/>
    <w:lvl w:ilvl="0" w:tplc="A22E5BFC">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30439D4"/>
    <w:multiLevelType w:val="multilevel"/>
    <w:tmpl w:val="68A04ECE"/>
    <w:lvl w:ilvl="0">
      <w:start w:val="3"/>
      <w:numFmt w:val="decimal"/>
      <w:lvlText w:val="%1."/>
      <w:lvlJc w:val="left"/>
      <w:pPr>
        <w:tabs>
          <w:tab w:val="num" w:pos="360"/>
        </w:tabs>
        <w:ind w:left="360" w:hanging="360"/>
      </w:pPr>
      <w:rPr>
        <w:rFonts w:ascii="Book Antiqua" w:hAnsi="Book Antiqua" w:hint="default"/>
      </w:rPr>
    </w:lvl>
    <w:lvl w:ilvl="1">
      <w:start w:val="1"/>
      <w:numFmt w:val="decimal"/>
      <w:lvlText w:val="%1.%2."/>
      <w:lvlJc w:val="left"/>
      <w:pPr>
        <w:tabs>
          <w:tab w:val="num" w:pos="360"/>
        </w:tabs>
        <w:ind w:left="360" w:hanging="360"/>
      </w:pPr>
      <w:rPr>
        <w:rFonts w:ascii="Book Antiqua" w:hAnsi="Book Antiqua" w:hint="default"/>
      </w:rPr>
    </w:lvl>
    <w:lvl w:ilvl="2">
      <w:start w:val="1"/>
      <w:numFmt w:val="decimal"/>
      <w:lvlText w:val="%1.%2.%3."/>
      <w:lvlJc w:val="left"/>
      <w:pPr>
        <w:tabs>
          <w:tab w:val="num" w:pos="720"/>
        </w:tabs>
        <w:ind w:left="720" w:hanging="720"/>
      </w:pPr>
      <w:rPr>
        <w:rFonts w:ascii="Book Antiqua" w:hAnsi="Book Antiqua" w:hint="default"/>
      </w:rPr>
    </w:lvl>
    <w:lvl w:ilvl="3">
      <w:start w:val="1"/>
      <w:numFmt w:val="decimal"/>
      <w:lvlText w:val="%1.%2.%3.%4."/>
      <w:lvlJc w:val="left"/>
      <w:pPr>
        <w:tabs>
          <w:tab w:val="num" w:pos="720"/>
        </w:tabs>
        <w:ind w:left="720" w:hanging="720"/>
      </w:pPr>
      <w:rPr>
        <w:rFonts w:ascii="Book Antiqua" w:hAnsi="Book Antiqua" w:hint="default"/>
      </w:rPr>
    </w:lvl>
    <w:lvl w:ilvl="4">
      <w:start w:val="1"/>
      <w:numFmt w:val="decimal"/>
      <w:lvlText w:val="%1.%2.%3.%4.%5."/>
      <w:lvlJc w:val="left"/>
      <w:pPr>
        <w:tabs>
          <w:tab w:val="num" w:pos="1080"/>
        </w:tabs>
        <w:ind w:left="1080" w:hanging="1080"/>
      </w:pPr>
      <w:rPr>
        <w:rFonts w:ascii="Book Antiqua" w:hAnsi="Book Antiqua" w:hint="default"/>
      </w:rPr>
    </w:lvl>
    <w:lvl w:ilvl="5">
      <w:start w:val="1"/>
      <w:numFmt w:val="decimal"/>
      <w:lvlText w:val="%1.%2.%3.%4.%5.%6."/>
      <w:lvlJc w:val="left"/>
      <w:pPr>
        <w:tabs>
          <w:tab w:val="num" w:pos="1080"/>
        </w:tabs>
        <w:ind w:left="1080" w:hanging="1080"/>
      </w:pPr>
      <w:rPr>
        <w:rFonts w:ascii="Book Antiqua" w:hAnsi="Book Antiqua" w:hint="default"/>
      </w:rPr>
    </w:lvl>
    <w:lvl w:ilvl="6">
      <w:start w:val="1"/>
      <w:numFmt w:val="decimal"/>
      <w:lvlText w:val="%1.%2.%3.%4.%5.%6.%7."/>
      <w:lvlJc w:val="left"/>
      <w:pPr>
        <w:tabs>
          <w:tab w:val="num" w:pos="1440"/>
        </w:tabs>
        <w:ind w:left="1440" w:hanging="1440"/>
      </w:pPr>
      <w:rPr>
        <w:rFonts w:ascii="Book Antiqua" w:hAnsi="Book Antiqua" w:hint="default"/>
      </w:rPr>
    </w:lvl>
    <w:lvl w:ilvl="7">
      <w:start w:val="1"/>
      <w:numFmt w:val="decimal"/>
      <w:lvlText w:val="%1.%2.%3.%4.%5.%6.%7.%8."/>
      <w:lvlJc w:val="left"/>
      <w:pPr>
        <w:tabs>
          <w:tab w:val="num" w:pos="1440"/>
        </w:tabs>
        <w:ind w:left="1440" w:hanging="1440"/>
      </w:pPr>
      <w:rPr>
        <w:rFonts w:ascii="Book Antiqua" w:hAnsi="Book Antiqua" w:hint="default"/>
      </w:rPr>
    </w:lvl>
    <w:lvl w:ilvl="8">
      <w:start w:val="1"/>
      <w:numFmt w:val="decimal"/>
      <w:lvlText w:val="%1.%2.%3.%4.%5.%6.%7.%8.%9."/>
      <w:lvlJc w:val="left"/>
      <w:pPr>
        <w:tabs>
          <w:tab w:val="num" w:pos="1800"/>
        </w:tabs>
        <w:ind w:left="1800" w:hanging="1800"/>
      </w:pPr>
      <w:rPr>
        <w:rFonts w:ascii="Book Antiqua" w:hAnsi="Book Antiqua" w:hint="default"/>
      </w:rPr>
    </w:lvl>
  </w:abstractNum>
  <w:abstractNum w:abstractNumId="8">
    <w:nsid w:val="5429676A"/>
    <w:multiLevelType w:val="hybridMultilevel"/>
    <w:tmpl w:val="4D542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AA7746E"/>
    <w:multiLevelType w:val="hybridMultilevel"/>
    <w:tmpl w:val="44F26C66"/>
    <w:lvl w:ilvl="0" w:tplc="17C07B4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0531A68"/>
    <w:multiLevelType w:val="hybridMultilevel"/>
    <w:tmpl w:val="FE106A9A"/>
    <w:lvl w:ilvl="0" w:tplc="A3A80D8C">
      <w:start w:val="1"/>
      <w:numFmt w:val="decimal"/>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1">
    <w:nsid w:val="61E13A32"/>
    <w:multiLevelType w:val="hybridMultilevel"/>
    <w:tmpl w:val="B560B5CA"/>
    <w:lvl w:ilvl="0" w:tplc="D9F6699A">
      <w:start w:val="1"/>
      <w:numFmt w:val="upperRoman"/>
      <w:pStyle w:val="Nadpis-Monika"/>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24E6774"/>
    <w:multiLevelType w:val="hybridMultilevel"/>
    <w:tmpl w:val="81F40114"/>
    <w:lvl w:ilvl="0" w:tplc="D2EE931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7D143C8D"/>
    <w:multiLevelType w:val="hybridMultilevel"/>
    <w:tmpl w:val="7D7C9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4"/>
    <w:lvlOverride w:ilvl="0">
      <w:startOverride w:val="1"/>
    </w:lvlOverride>
  </w:num>
  <w:num w:numId="4">
    <w:abstractNumId w:val="0"/>
  </w:num>
  <w:num w:numId="5">
    <w:abstractNumId w:val="9"/>
  </w:num>
  <w:num w:numId="6">
    <w:abstractNumId w:val="6"/>
  </w:num>
  <w:num w:numId="7">
    <w:abstractNumId w:val="2"/>
  </w:num>
  <w:num w:numId="8">
    <w:abstractNumId w:val="7"/>
  </w:num>
  <w:num w:numId="9">
    <w:abstractNumId w:val="1"/>
  </w:num>
  <w:num w:numId="10">
    <w:abstractNumId w:val="12"/>
  </w:num>
  <w:num w:numId="11">
    <w:abstractNumId w:val="10"/>
  </w:num>
  <w:num w:numId="12">
    <w:abstractNumId w:val="5"/>
  </w:num>
  <w:num w:numId="13">
    <w:abstractNumId w:val="1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2619"/>
    <w:rsid w:val="0000259E"/>
    <w:rsid w:val="00026F57"/>
    <w:rsid w:val="00035D22"/>
    <w:rsid w:val="00037E74"/>
    <w:rsid w:val="0004021A"/>
    <w:rsid w:val="0005187B"/>
    <w:rsid w:val="00083D91"/>
    <w:rsid w:val="00083E8C"/>
    <w:rsid w:val="000B4BA5"/>
    <w:rsid w:val="000C4F9F"/>
    <w:rsid w:val="000F2886"/>
    <w:rsid w:val="00111951"/>
    <w:rsid w:val="0013749F"/>
    <w:rsid w:val="00140631"/>
    <w:rsid w:val="00145575"/>
    <w:rsid w:val="0016358E"/>
    <w:rsid w:val="001647DC"/>
    <w:rsid w:val="0017437C"/>
    <w:rsid w:val="001933AB"/>
    <w:rsid w:val="001A0E24"/>
    <w:rsid w:val="001A7EEE"/>
    <w:rsid w:val="001C1161"/>
    <w:rsid w:val="001C1CB9"/>
    <w:rsid w:val="001C2DCD"/>
    <w:rsid w:val="001E2562"/>
    <w:rsid w:val="001E7208"/>
    <w:rsid w:val="00215F46"/>
    <w:rsid w:val="00243BCA"/>
    <w:rsid w:val="0025547C"/>
    <w:rsid w:val="00287251"/>
    <w:rsid w:val="002C03D9"/>
    <w:rsid w:val="002C2349"/>
    <w:rsid w:val="002C3B56"/>
    <w:rsid w:val="002F4D82"/>
    <w:rsid w:val="00315A76"/>
    <w:rsid w:val="003250F1"/>
    <w:rsid w:val="0034467D"/>
    <w:rsid w:val="00356CF3"/>
    <w:rsid w:val="00376D0A"/>
    <w:rsid w:val="0038201A"/>
    <w:rsid w:val="00382A75"/>
    <w:rsid w:val="00384220"/>
    <w:rsid w:val="003A70AB"/>
    <w:rsid w:val="003B5FDF"/>
    <w:rsid w:val="003B7673"/>
    <w:rsid w:val="003C2B99"/>
    <w:rsid w:val="003C2C72"/>
    <w:rsid w:val="003C4614"/>
    <w:rsid w:val="003C7697"/>
    <w:rsid w:val="003D2C59"/>
    <w:rsid w:val="003E49BA"/>
    <w:rsid w:val="00400F35"/>
    <w:rsid w:val="00412338"/>
    <w:rsid w:val="00416C48"/>
    <w:rsid w:val="00427D6D"/>
    <w:rsid w:val="00433019"/>
    <w:rsid w:val="00450C73"/>
    <w:rsid w:val="00452907"/>
    <w:rsid w:val="00454761"/>
    <w:rsid w:val="00470ED3"/>
    <w:rsid w:val="004829E7"/>
    <w:rsid w:val="004D0388"/>
    <w:rsid w:val="004D69F5"/>
    <w:rsid w:val="004F020A"/>
    <w:rsid w:val="005008D5"/>
    <w:rsid w:val="00553537"/>
    <w:rsid w:val="00557290"/>
    <w:rsid w:val="005775BA"/>
    <w:rsid w:val="00583E95"/>
    <w:rsid w:val="00590F64"/>
    <w:rsid w:val="005C53F1"/>
    <w:rsid w:val="005D1659"/>
    <w:rsid w:val="005D3328"/>
    <w:rsid w:val="005E589A"/>
    <w:rsid w:val="00611DF3"/>
    <w:rsid w:val="00617A41"/>
    <w:rsid w:val="00635B01"/>
    <w:rsid w:val="00646BE3"/>
    <w:rsid w:val="00652619"/>
    <w:rsid w:val="00652D60"/>
    <w:rsid w:val="0066149E"/>
    <w:rsid w:val="00667938"/>
    <w:rsid w:val="00674EFA"/>
    <w:rsid w:val="00680BF1"/>
    <w:rsid w:val="006A32B7"/>
    <w:rsid w:val="006A69A7"/>
    <w:rsid w:val="006B3C77"/>
    <w:rsid w:val="006B4272"/>
    <w:rsid w:val="006E1AD6"/>
    <w:rsid w:val="00713D1B"/>
    <w:rsid w:val="00716981"/>
    <w:rsid w:val="00722D09"/>
    <w:rsid w:val="007315EA"/>
    <w:rsid w:val="0073530E"/>
    <w:rsid w:val="0075402E"/>
    <w:rsid w:val="00757BF6"/>
    <w:rsid w:val="00786C15"/>
    <w:rsid w:val="007A2B0F"/>
    <w:rsid w:val="007B2F84"/>
    <w:rsid w:val="007E70CA"/>
    <w:rsid w:val="008410CB"/>
    <w:rsid w:val="00851629"/>
    <w:rsid w:val="00856EB6"/>
    <w:rsid w:val="0089020B"/>
    <w:rsid w:val="008A436C"/>
    <w:rsid w:val="008B4986"/>
    <w:rsid w:val="008B689A"/>
    <w:rsid w:val="009056C0"/>
    <w:rsid w:val="00910473"/>
    <w:rsid w:val="009140FC"/>
    <w:rsid w:val="009167D9"/>
    <w:rsid w:val="00933885"/>
    <w:rsid w:val="00950730"/>
    <w:rsid w:val="00951270"/>
    <w:rsid w:val="009575A6"/>
    <w:rsid w:val="0096036C"/>
    <w:rsid w:val="00961CFC"/>
    <w:rsid w:val="009F729C"/>
    <w:rsid w:val="00A017B4"/>
    <w:rsid w:val="00A2550F"/>
    <w:rsid w:val="00A27318"/>
    <w:rsid w:val="00A45C2A"/>
    <w:rsid w:val="00A80152"/>
    <w:rsid w:val="00A8347D"/>
    <w:rsid w:val="00A85F6E"/>
    <w:rsid w:val="00A8629E"/>
    <w:rsid w:val="00AA1065"/>
    <w:rsid w:val="00AB30A1"/>
    <w:rsid w:val="00AC18C8"/>
    <w:rsid w:val="00AD25DB"/>
    <w:rsid w:val="00AD6573"/>
    <w:rsid w:val="00AE23CC"/>
    <w:rsid w:val="00AE371F"/>
    <w:rsid w:val="00B00C5C"/>
    <w:rsid w:val="00B0455A"/>
    <w:rsid w:val="00B305DD"/>
    <w:rsid w:val="00B47296"/>
    <w:rsid w:val="00B93830"/>
    <w:rsid w:val="00BC773A"/>
    <w:rsid w:val="00BD52A7"/>
    <w:rsid w:val="00BE6211"/>
    <w:rsid w:val="00BF50E4"/>
    <w:rsid w:val="00C101C1"/>
    <w:rsid w:val="00C218C9"/>
    <w:rsid w:val="00C22E9C"/>
    <w:rsid w:val="00C306B3"/>
    <w:rsid w:val="00C547FB"/>
    <w:rsid w:val="00C814C6"/>
    <w:rsid w:val="00C84DE0"/>
    <w:rsid w:val="00C92EE7"/>
    <w:rsid w:val="00CA4F67"/>
    <w:rsid w:val="00CA5A3B"/>
    <w:rsid w:val="00CE4B2A"/>
    <w:rsid w:val="00CF1796"/>
    <w:rsid w:val="00D06F91"/>
    <w:rsid w:val="00D16899"/>
    <w:rsid w:val="00D470ED"/>
    <w:rsid w:val="00D47A64"/>
    <w:rsid w:val="00D5700E"/>
    <w:rsid w:val="00D72352"/>
    <w:rsid w:val="00D92E82"/>
    <w:rsid w:val="00D95E88"/>
    <w:rsid w:val="00D97E72"/>
    <w:rsid w:val="00DA5A97"/>
    <w:rsid w:val="00DB3765"/>
    <w:rsid w:val="00DB5778"/>
    <w:rsid w:val="00DC6FC6"/>
    <w:rsid w:val="00DD5ADB"/>
    <w:rsid w:val="00E0119A"/>
    <w:rsid w:val="00E46F03"/>
    <w:rsid w:val="00E733C0"/>
    <w:rsid w:val="00E822FD"/>
    <w:rsid w:val="00E83E84"/>
    <w:rsid w:val="00E949D1"/>
    <w:rsid w:val="00EC5748"/>
    <w:rsid w:val="00EC6BBF"/>
    <w:rsid w:val="00EC6D78"/>
    <w:rsid w:val="00EF4867"/>
    <w:rsid w:val="00F10982"/>
    <w:rsid w:val="00F13D0A"/>
    <w:rsid w:val="00F14ED1"/>
    <w:rsid w:val="00F227A0"/>
    <w:rsid w:val="00F301F6"/>
    <w:rsid w:val="00F304B6"/>
    <w:rsid w:val="00F93B8B"/>
    <w:rsid w:val="00FB5437"/>
    <w:rsid w:val="00FC17F0"/>
    <w:rsid w:val="00FC7DD8"/>
    <w:rsid w:val="00FF3A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68FE34-0126-43DC-B189-2271E265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1CFC"/>
    <w:pPr>
      <w:spacing w:after="0" w:line="240" w:lineRule="auto"/>
    </w:pPr>
  </w:style>
  <w:style w:type="paragraph" w:styleId="Nadpis1">
    <w:name w:val="heading 1"/>
    <w:basedOn w:val="Normln"/>
    <w:next w:val="Normln"/>
    <w:link w:val="Nadpis1Char"/>
    <w:uiPriority w:val="9"/>
    <w:qFormat/>
    <w:rsid w:val="00652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AC18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C18C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Monika">
    <w:name w:val="Nadpis  Monika"/>
    <w:basedOn w:val="Nadpis1"/>
    <w:next w:val="Normln"/>
    <w:link w:val="NadpisMonikaChar"/>
    <w:qFormat/>
    <w:rsid w:val="00A8629E"/>
    <w:pPr>
      <w:spacing w:before="0"/>
      <w:jc w:val="center"/>
    </w:pPr>
    <w:rPr>
      <w:rFonts w:asciiTheme="minorHAnsi" w:hAnsiTheme="minorHAnsi"/>
      <w:caps/>
      <w:color w:val="000000" w:themeColor="text1"/>
      <w:sz w:val="40"/>
      <w:szCs w:val="40"/>
    </w:rPr>
  </w:style>
  <w:style w:type="paragraph" w:styleId="Odstavecseseznamem">
    <w:name w:val="List Paragraph"/>
    <w:basedOn w:val="Normln"/>
    <w:uiPriority w:val="34"/>
    <w:qFormat/>
    <w:rsid w:val="00AC18C8"/>
    <w:pPr>
      <w:ind w:left="720"/>
      <w:contextualSpacing/>
    </w:pPr>
  </w:style>
  <w:style w:type="character" w:customStyle="1" w:styleId="Nadpis1Char">
    <w:name w:val="Nadpis 1 Char"/>
    <w:basedOn w:val="Standardnpsmoodstavce"/>
    <w:link w:val="Nadpis1"/>
    <w:uiPriority w:val="9"/>
    <w:rsid w:val="00652619"/>
    <w:rPr>
      <w:rFonts w:asciiTheme="majorHAnsi" w:eastAsiaTheme="majorEastAsia" w:hAnsiTheme="majorHAnsi" w:cstheme="majorBidi"/>
      <w:b/>
      <w:bCs/>
      <w:color w:val="365F91" w:themeColor="accent1" w:themeShade="BF"/>
      <w:sz w:val="28"/>
      <w:szCs w:val="28"/>
    </w:rPr>
  </w:style>
  <w:style w:type="character" w:customStyle="1" w:styleId="NadpisMonikaChar">
    <w:name w:val="Nadpis  Monika Char"/>
    <w:basedOn w:val="Nadpis1Char"/>
    <w:link w:val="NadpisMonika"/>
    <w:rsid w:val="00A8629E"/>
    <w:rPr>
      <w:rFonts w:asciiTheme="majorHAnsi" w:eastAsiaTheme="majorEastAsia" w:hAnsiTheme="majorHAnsi" w:cstheme="majorBidi"/>
      <w:b/>
      <w:bCs/>
      <w:caps/>
      <w:color w:val="000000" w:themeColor="text1"/>
      <w:sz w:val="40"/>
      <w:szCs w:val="40"/>
    </w:rPr>
  </w:style>
  <w:style w:type="paragraph" w:customStyle="1" w:styleId="lnek-Monika">
    <w:name w:val="Článek - Monika"/>
    <w:basedOn w:val="Nadpis2"/>
    <w:next w:val="Normln"/>
    <w:link w:val="lnek-MonikaChar"/>
    <w:qFormat/>
    <w:rsid w:val="00A8347D"/>
    <w:pPr>
      <w:numPr>
        <w:numId w:val="1"/>
      </w:numPr>
      <w:spacing w:before="300" w:after="300"/>
      <w:ind w:left="0" w:firstLine="0"/>
      <w:jc w:val="center"/>
    </w:pPr>
    <w:rPr>
      <w:rFonts w:asciiTheme="minorHAnsi" w:hAnsiTheme="minorHAnsi"/>
      <w:caps/>
      <w:color w:val="000000" w:themeColor="text1"/>
      <w:sz w:val="28"/>
      <w:szCs w:val="24"/>
    </w:rPr>
  </w:style>
  <w:style w:type="paragraph" w:customStyle="1" w:styleId="Nadpis-Monika">
    <w:name w:val="Nadpis - Monika"/>
    <w:basedOn w:val="Nadpis3"/>
    <w:next w:val="Normln"/>
    <w:link w:val="Nadpis-MonikaChar"/>
    <w:rsid w:val="00A8347D"/>
    <w:pPr>
      <w:numPr>
        <w:numId w:val="13"/>
      </w:numPr>
      <w:spacing w:after="300"/>
      <w:jc w:val="center"/>
    </w:pPr>
    <w:rPr>
      <w:rFonts w:asciiTheme="minorHAnsi" w:hAnsiTheme="minorHAnsi"/>
      <w:caps/>
      <w:color w:val="000000" w:themeColor="text1"/>
      <w:sz w:val="24"/>
      <w:u w:val="single"/>
    </w:rPr>
  </w:style>
  <w:style w:type="character" w:customStyle="1" w:styleId="Nadpis2Char">
    <w:name w:val="Nadpis 2 Char"/>
    <w:basedOn w:val="Standardnpsmoodstavce"/>
    <w:link w:val="Nadpis2"/>
    <w:uiPriority w:val="9"/>
    <w:semiHidden/>
    <w:rsid w:val="00AC18C8"/>
    <w:rPr>
      <w:rFonts w:asciiTheme="majorHAnsi" w:eastAsiaTheme="majorEastAsia" w:hAnsiTheme="majorHAnsi" w:cstheme="majorBidi"/>
      <w:b/>
      <w:bCs/>
      <w:color w:val="4F81BD" w:themeColor="accent1"/>
      <w:sz w:val="26"/>
      <w:szCs w:val="26"/>
    </w:rPr>
  </w:style>
  <w:style w:type="character" w:customStyle="1" w:styleId="lnek-MonikaChar">
    <w:name w:val="Článek - Monika Char"/>
    <w:basedOn w:val="Nadpis2Char"/>
    <w:link w:val="lnek-Monika"/>
    <w:rsid w:val="00A8347D"/>
    <w:rPr>
      <w:rFonts w:asciiTheme="majorHAnsi" w:eastAsiaTheme="majorEastAsia" w:hAnsiTheme="majorHAnsi" w:cstheme="majorBidi"/>
      <w:b/>
      <w:bCs/>
      <w:caps/>
      <w:color w:val="000000" w:themeColor="text1"/>
      <w:sz w:val="28"/>
      <w:szCs w:val="24"/>
    </w:rPr>
  </w:style>
  <w:style w:type="character" w:customStyle="1" w:styleId="Nadpis3Char">
    <w:name w:val="Nadpis 3 Char"/>
    <w:basedOn w:val="Standardnpsmoodstavce"/>
    <w:link w:val="Nadpis3"/>
    <w:uiPriority w:val="9"/>
    <w:semiHidden/>
    <w:rsid w:val="00AC18C8"/>
    <w:rPr>
      <w:rFonts w:asciiTheme="majorHAnsi" w:eastAsiaTheme="majorEastAsia" w:hAnsiTheme="majorHAnsi" w:cstheme="majorBidi"/>
      <w:b/>
      <w:bCs/>
      <w:color w:val="4F81BD" w:themeColor="accent1"/>
    </w:rPr>
  </w:style>
  <w:style w:type="character" w:customStyle="1" w:styleId="Nadpis-MonikaChar">
    <w:name w:val="Nadpis - Monika Char"/>
    <w:basedOn w:val="Nadpis3Char"/>
    <w:link w:val="Nadpis-Monika"/>
    <w:rsid w:val="00A8347D"/>
    <w:rPr>
      <w:rFonts w:asciiTheme="majorHAnsi" w:eastAsiaTheme="majorEastAsia" w:hAnsiTheme="majorHAnsi" w:cstheme="majorBidi"/>
      <w:b/>
      <w:bCs/>
      <w:caps/>
      <w:color w:val="000000" w:themeColor="text1"/>
      <w:sz w:val="24"/>
      <w:u w:val="single"/>
    </w:rPr>
  </w:style>
  <w:style w:type="paragraph" w:styleId="Zhlav">
    <w:name w:val="header"/>
    <w:basedOn w:val="Normln"/>
    <w:link w:val="ZhlavChar"/>
    <w:uiPriority w:val="99"/>
    <w:semiHidden/>
    <w:unhideWhenUsed/>
    <w:rsid w:val="0066149E"/>
    <w:pPr>
      <w:tabs>
        <w:tab w:val="center" w:pos="4536"/>
        <w:tab w:val="right" w:pos="9072"/>
      </w:tabs>
    </w:pPr>
  </w:style>
  <w:style w:type="character" w:customStyle="1" w:styleId="ZhlavChar">
    <w:name w:val="Záhlaví Char"/>
    <w:basedOn w:val="Standardnpsmoodstavce"/>
    <w:link w:val="Zhlav"/>
    <w:uiPriority w:val="99"/>
    <w:semiHidden/>
    <w:rsid w:val="0066149E"/>
  </w:style>
  <w:style w:type="paragraph" w:styleId="Zpat">
    <w:name w:val="footer"/>
    <w:basedOn w:val="Normln"/>
    <w:link w:val="ZpatChar"/>
    <w:uiPriority w:val="99"/>
    <w:unhideWhenUsed/>
    <w:rsid w:val="0066149E"/>
    <w:pPr>
      <w:tabs>
        <w:tab w:val="center" w:pos="4536"/>
        <w:tab w:val="right" w:pos="9072"/>
      </w:tabs>
    </w:pPr>
  </w:style>
  <w:style w:type="character" w:customStyle="1" w:styleId="ZpatChar">
    <w:name w:val="Zápatí Char"/>
    <w:basedOn w:val="Standardnpsmoodstavce"/>
    <w:link w:val="Zpat"/>
    <w:uiPriority w:val="99"/>
    <w:rsid w:val="0066149E"/>
  </w:style>
  <w:style w:type="paragraph" w:styleId="Textbubliny">
    <w:name w:val="Balloon Text"/>
    <w:basedOn w:val="Normln"/>
    <w:link w:val="TextbublinyChar"/>
    <w:uiPriority w:val="99"/>
    <w:semiHidden/>
    <w:unhideWhenUsed/>
    <w:rsid w:val="00AE371F"/>
    <w:rPr>
      <w:rFonts w:ascii="Tahoma" w:hAnsi="Tahoma" w:cs="Tahoma"/>
      <w:sz w:val="16"/>
      <w:szCs w:val="16"/>
    </w:rPr>
  </w:style>
  <w:style w:type="character" w:customStyle="1" w:styleId="TextbublinyChar">
    <w:name w:val="Text bubliny Char"/>
    <w:basedOn w:val="Standardnpsmoodstavce"/>
    <w:link w:val="Textbubliny"/>
    <w:uiPriority w:val="99"/>
    <w:semiHidden/>
    <w:rsid w:val="00AE371F"/>
    <w:rPr>
      <w:rFonts w:ascii="Tahoma" w:hAnsi="Tahoma" w:cs="Tahoma"/>
      <w:sz w:val="16"/>
      <w:szCs w:val="16"/>
    </w:rPr>
  </w:style>
  <w:style w:type="character" w:styleId="Hypertextovodkaz">
    <w:name w:val="Hyperlink"/>
    <w:basedOn w:val="Standardnpsmoodstavce"/>
    <w:uiPriority w:val="99"/>
    <w:unhideWhenUsed/>
    <w:rsid w:val="00C547FB"/>
    <w:rPr>
      <w:color w:val="0000FF" w:themeColor="hyperlink"/>
      <w:u w:val="single"/>
    </w:rPr>
  </w:style>
  <w:style w:type="paragraph" w:customStyle="1" w:styleId="Default">
    <w:name w:val="Default"/>
    <w:rsid w:val="008902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A78F3-24B6-4508-BD68-5D9EC95D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2504</Words>
  <Characters>14777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cp:lastPrinted>2014-09-12T12:03:00Z</cp:lastPrinted>
  <dcterms:created xsi:type="dcterms:W3CDTF">2014-11-04T13:56:00Z</dcterms:created>
  <dcterms:modified xsi:type="dcterms:W3CDTF">2014-11-04T13:56:00Z</dcterms:modified>
</cp:coreProperties>
</file>